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1CD7" w14:textId="77777777" w:rsidR="00940CC9" w:rsidRDefault="00940CC9">
      <w:pPr>
        <w:tabs>
          <w:tab w:val="left" w:pos="7966"/>
        </w:tabs>
        <w:ind w:left="28"/>
        <w:jc w:val="center"/>
        <w:rPr>
          <w:b/>
          <w:bCs/>
          <w:sz w:val="28"/>
          <w:rtl/>
        </w:rPr>
      </w:pPr>
    </w:p>
    <w:p w14:paraId="0FA1606A" w14:textId="77777777" w:rsidR="00940CC9" w:rsidRDefault="00940CC9">
      <w:pPr>
        <w:tabs>
          <w:tab w:val="left" w:pos="7966"/>
        </w:tabs>
        <w:ind w:left="28"/>
        <w:jc w:val="center"/>
        <w:rPr>
          <w:b/>
          <w:bCs/>
          <w:sz w:val="28"/>
          <w:rtl/>
        </w:rPr>
      </w:pPr>
    </w:p>
    <w:tbl>
      <w:tblPr>
        <w:tblStyle w:val="a7"/>
        <w:bidiVisual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92"/>
      </w:tblGrid>
      <w:tr w:rsidR="00940CC9" w14:paraId="13273D02" w14:textId="77777777">
        <w:tc>
          <w:tcPr>
            <w:tcW w:w="4701" w:type="dxa"/>
          </w:tcPr>
          <w:p w14:paraId="3CFC8319" w14:textId="77777777" w:rsidR="00940CC9" w:rsidRDefault="00060F77">
            <w:pPr>
              <w:tabs>
                <w:tab w:val="left" w:pos="7966"/>
              </w:tabs>
              <w:jc w:val="both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לכל מאן דבעי,</w:t>
            </w:r>
          </w:p>
        </w:tc>
        <w:tc>
          <w:tcPr>
            <w:tcW w:w="4701" w:type="dxa"/>
          </w:tcPr>
          <w:p w14:paraId="3E3E1F96" w14:textId="0500D668" w:rsidR="009E7452" w:rsidRDefault="00060F77" w:rsidP="009E7452">
            <w:pPr>
              <w:tabs>
                <w:tab w:val="left" w:pos="7966"/>
              </w:tabs>
              <w:bidi w:val="0"/>
              <w:jc w:val="both"/>
              <w:rPr>
                <w:b/>
                <w:bCs/>
                <w:sz w:val="28"/>
                <w:rtl/>
              </w:rPr>
            </w:pPr>
            <w:r>
              <w:rPr>
                <w:rFonts w:hint="eastAsia"/>
                <w:b/>
                <w:bCs/>
                <w:sz w:val="28"/>
                <w:rtl/>
              </w:rPr>
              <w:t>‏‏</w:t>
            </w:r>
            <w:r w:rsidR="009E7452">
              <w:rPr>
                <w:rFonts w:hint="eastAsia"/>
                <w:b/>
                <w:bCs/>
                <w:sz w:val="28"/>
                <w:rtl/>
              </w:rPr>
              <w:t>‏</w:t>
            </w:r>
            <w:r w:rsidR="00DF2BBB">
              <w:rPr>
                <w:rFonts w:hint="cs"/>
                <w:b/>
                <w:bCs/>
                <w:sz w:val="28"/>
                <w:rtl/>
              </w:rPr>
              <w:t>21</w:t>
            </w:r>
            <w:r w:rsidR="00F41617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="00DF2BBB">
              <w:rPr>
                <w:rFonts w:hint="cs"/>
                <w:b/>
                <w:bCs/>
                <w:sz w:val="28"/>
                <w:rtl/>
              </w:rPr>
              <w:t>ספטמבר</w:t>
            </w:r>
            <w:r w:rsidR="009E7452">
              <w:rPr>
                <w:b/>
                <w:bCs/>
                <w:sz w:val="28"/>
                <w:rtl/>
              </w:rPr>
              <w:t xml:space="preserve"> </w:t>
            </w:r>
            <w:r w:rsidR="00F41617">
              <w:rPr>
                <w:rFonts w:hint="cs"/>
                <w:b/>
                <w:bCs/>
                <w:sz w:val="28"/>
                <w:rtl/>
              </w:rPr>
              <w:t xml:space="preserve">2023 </w:t>
            </w:r>
            <w:r w:rsidR="009E7452">
              <w:rPr>
                <w:rFonts w:hint="eastAsia"/>
                <w:b/>
                <w:bCs/>
                <w:sz w:val="28"/>
                <w:rtl/>
              </w:rPr>
              <w:t>‏</w:t>
            </w:r>
          </w:p>
          <w:p w14:paraId="704E9E99" w14:textId="62CACFA2" w:rsidR="00940CC9" w:rsidRDefault="00DF2BBB" w:rsidP="009E7452">
            <w:pPr>
              <w:tabs>
                <w:tab w:val="left" w:pos="7966"/>
              </w:tabs>
              <w:bidi w:val="0"/>
              <w:jc w:val="both"/>
              <w:rPr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rtl/>
              </w:rPr>
              <w:t>ו</w:t>
            </w:r>
            <w:r w:rsidR="009E7452">
              <w:rPr>
                <w:b/>
                <w:bCs/>
                <w:sz w:val="28"/>
                <w:rtl/>
              </w:rPr>
              <w:t xml:space="preserve"> </w:t>
            </w:r>
            <w:r w:rsidR="00F41617">
              <w:rPr>
                <w:rFonts w:hint="cs"/>
                <w:b/>
                <w:bCs/>
                <w:sz w:val="28"/>
                <w:rtl/>
              </w:rPr>
              <w:t>אלול</w:t>
            </w:r>
            <w:r w:rsidR="009E7452">
              <w:rPr>
                <w:b/>
                <w:bCs/>
                <w:sz w:val="28"/>
                <w:rtl/>
              </w:rPr>
              <w:t xml:space="preserve"> תשפ"</w:t>
            </w:r>
            <w:r w:rsidR="00097578">
              <w:rPr>
                <w:rFonts w:hint="cs"/>
                <w:b/>
                <w:bCs/>
                <w:sz w:val="28"/>
                <w:rtl/>
              </w:rPr>
              <w:t>ד</w:t>
            </w:r>
          </w:p>
        </w:tc>
      </w:tr>
    </w:tbl>
    <w:p w14:paraId="635C3F14" w14:textId="77777777" w:rsidR="00940CC9" w:rsidRDefault="00940CC9">
      <w:pPr>
        <w:tabs>
          <w:tab w:val="left" w:pos="7966"/>
        </w:tabs>
        <w:ind w:left="28"/>
        <w:jc w:val="both"/>
        <w:rPr>
          <w:b/>
          <w:bCs/>
          <w:sz w:val="28"/>
          <w:rtl/>
        </w:rPr>
      </w:pPr>
    </w:p>
    <w:p w14:paraId="64ECDBCC" w14:textId="77777777" w:rsidR="00940CC9" w:rsidRDefault="00940CC9">
      <w:pPr>
        <w:tabs>
          <w:tab w:val="left" w:pos="7966"/>
        </w:tabs>
        <w:ind w:left="28"/>
        <w:jc w:val="center"/>
        <w:rPr>
          <w:b/>
          <w:bCs/>
          <w:sz w:val="38"/>
          <w:szCs w:val="38"/>
          <w:rtl/>
        </w:rPr>
      </w:pPr>
    </w:p>
    <w:p w14:paraId="6DB912C6" w14:textId="77777777" w:rsidR="00940CC9" w:rsidRDefault="00060F77">
      <w:pPr>
        <w:tabs>
          <w:tab w:val="left" w:pos="7966"/>
        </w:tabs>
        <w:ind w:left="28"/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>הנדון:</w:t>
      </w:r>
      <w:r>
        <w:rPr>
          <w:rFonts w:hint="cs"/>
          <w:sz w:val="32"/>
          <w:szCs w:val="32"/>
        </w:rPr>
        <w:t xml:space="preserve"> </w:t>
      </w:r>
      <w:r w:rsidR="009E7452">
        <w:rPr>
          <w:rFonts w:hint="cs"/>
          <w:b/>
          <w:bCs/>
          <w:sz w:val="32"/>
          <w:szCs w:val="32"/>
          <w:u w:val="single"/>
          <w:rtl/>
        </w:rPr>
        <w:t>פרוטוקול תשובות לשאלות הבהרה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- </w:t>
      </w:r>
      <w:r>
        <w:rPr>
          <w:b/>
          <w:bCs/>
          <w:sz w:val="32"/>
          <w:szCs w:val="32"/>
          <w:u w:val="single"/>
          <w:rtl/>
        </w:rPr>
        <w:t>מכרז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E7452">
        <w:rPr>
          <w:rFonts w:hint="cs"/>
          <w:b/>
          <w:bCs/>
          <w:sz w:val="32"/>
          <w:szCs w:val="32"/>
          <w:u w:val="single"/>
          <w:rtl/>
        </w:rPr>
        <w:t xml:space="preserve">פומבי מס' 23/2023 </w:t>
      </w:r>
    </w:p>
    <w:p w14:paraId="701224D2" w14:textId="77777777" w:rsidR="00940CC9" w:rsidRDefault="00060F77" w:rsidP="009E7452">
      <w:pPr>
        <w:keepLines/>
        <w:tabs>
          <w:tab w:val="left" w:pos="567"/>
          <w:tab w:val="left" w:pos="1134"/>
          <w:tab w:val="left" w:pos="7966"/>
        </w:tabs>
        <w:autoSpaceDE w:val="0"/>
        <w:autoSpaceDN w:val="0"/>
        <w:jc w:val="center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לביצוע עבודות </w:t>
      </w:r>
      <w:r w:rsidR="009E7452">
        <w:rPr>
          <w:rFonts w:hint="cs"/>
          <w:sz w:val="26"/>
          <w:szCs w:val="26"/>
          <w:rtl/>
        </w:rPr>
        <w:t>עפר תשתית וסלילה בשכונת מעלות הנחל</w:t>
      </w:r>
      <w:r w:rsidR="00470465">
        <w:rPr>
          <w:rFonts w:hint="cs"/>
          <w:sz w:val="26"/>
          <w:szCs w:val="26"/>
          <w:rtl/>
        </w:rPr>
        <w:t xml:space="preserve"> - </w:t>
      </w:r>
      <w:r w:rsidR="009E7452">
        <w:rPr>
          <w:rFonts w:hint="cs"/>
          <w:sz w:val="26"/>
          <w:szCs w:val="26"/>
          <w:rtl/>
        </w:rPr>
        <w:t xml:space="preserve"> בנתיבות </w:t>
      </w:r>
    </w:p>
    <w:p w14:paraId="031B85E7" w14:textId="77777777" w:rsidR="00940CC9" w:rsidRDefault="00940CC9">
      <w:pPr>
        <w:tabs>
          <w:tab w:val="left" w:pos="7966"/>
        </w:tabs>
        <w:ind w:left="28"/>
        <w:rPr>
          <w:sz w:val="24"/>
          <w:szCs w:val="24"/>
          <w:rtl/>
        </w:rPr>
      </w:pPr>
    </w:p>
    <w:p w14:paraId="51EC9AE6" w14:textId="77777777" w:rsidR="00940CC9" w:rsidRDefault="00060F77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בהמשך לפרסומו של המכרז שבנדון (להלן:</w:t>
      </w:r>
      <w:r>
        <w:rPr>
          <w:rFonts w:hint="cs"/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>"</w:t>
      </w:r>
      <w:r>
        <w:rPr>
          <w:rFonts w:hint="cs"/>
          <w:b/>
          <w:bCs/>
          <w:sz w:val="26"/>
          <w:szCs w:val="26"/>
          <w:rtl/>
        </w:rPr>
        <w:t>המכרז</w:t>
      </w:r>
      <w:r>
        <w:rPr>
          <w:rFonts w:hint="cs"/>
          <w:sz w:val="26"/>
          <w:szCs w:val="26"/>
          <w:rtl/>
        </w:rPr>
        <w:t>") וכן בעקבות שאלות אשר הגיעו ממתמודדים פוטנציאליים במכרז, מפרסמת בזאת עיריית נתיבות (להלן: "</w:t>
      </w:r>
      <w:r>
        <w:rPr>
          <w:rFonts w:hint="cs"/>
          <w:b/>
          <w:bCs/>
          <w:sz w:val="26"/>
          <w:szCs w:val="26"/>
          <w:rtl/>
        </w:rPr>
        <w:t>העירייה</w:t>
      </w:r>
      <w:r>
        <w:rPr>
          <w:rFonts w:hint="cs"/>
          <w:sz w:val="26"/>
          <w:szCs w:val="26"/>
          <w:rtl/>
        </w:rPr>
        <w:t xml:space="preserve">") </w:t>
      </w:r>
      <w:r w:rsidRPr="00CB5664">
        <w:rPr>
          <w:rFonts w:hint="cs"/>
          <w:b/>
          <w:bCs/>
          <w:sz w:val="26"/>
          <w:szCs w:val="26"/>
          <w:u w:val="single"/>
          <w:rtl/>
        </w:rPr>
        <w:t>שאלות ותשובות ביחס למכרז</w:t>
      </w:r>
      <w:r>
        <w:rPr>
          <w:rFonts w:hint="cs"/>
          <w:sz w:val="26"/>
          <w:szCs w:val="26"/>
          <w:rtl/>
        </w:rPr>
        <w:t xml:space="preserve"> כמפורט להלן </w:t>
      </w:r>
      <w:r w:rsidRPr="00A3110B">
        <w:rPr>
          <w:rFonts w:hint="cs"/>
          <w:sz w:val="26"/>
          <w:szCs w:val="26"/>
          <w:rtl/>
        </w:rPr>
        <w:t xml:space="preserve">וכן </w:t>
      </w:r>
      <w:r w:rsidRPr="00A3110B">
        <w:rPr>
          <w:rFonts w:hint="cs"/>
          <w:b/>
          <w:bCs/>
          <w:sz w:val="26"/>
          <w:szCs w:val="26"/>
          <w:u w:val="single"/>
          <w:rtl/>
        </w:rPr>
        <w:t>שינויים יזומים מטעמה</w:t>
      </w:r>
      <w:r w:rsidRPr="00A3110B">
        <w:rPr>
          <w:rFonts w:hint="cs"/>
          <w:sz w:val="26"/>
          <w:szCs w:val="26"/>
          <w:rtl/>
        </w:rPr>
        <w:t>.</w:t>
      </w:r>
    </w:p>
    <w:p w14:paraId="7CFF5B4B" w14:textId="77777777" w:rsidR="00940CC9" w:rsidRDefault="00940CC9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6B5E591C" w14:textId="77777777" w:rsidR="00940CC9" w:rsidRDefault="00060F77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מסמך זה מהווה חלק בלתי נפרד ממסמכי המכרז ויש להגישו יחד עם ההצעה חתום כדין בכל אחד מעמודיו. </w:t>
      </w:r>
    </w:p>
    <w:p w14:paraId="1D8D7398" w14:textId="77777777" w:rsidR="00940CC9" w:rsidRDefault="00940CC9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569861C3" w14:textId="77777777" w:rsidR="00940CC9" w:rsidRDefault="00060F77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  <w:r w:rsidRPr="00A3110B">
        <w:rPr>
          <w:rFonts w:hint="cs"/>
          <w:sz w:val="26"/>
          <w:szCs w:val="26"/>
          <w:rtl/>
        </w:rPr>
        <w:t xml:space="preserve">תשומת לב המציעים כי נוסח השאלות הועתק בהתאם לשאלת השואל </w:t>
      </w:r>
      <w:r w:rsidRPr="00A3110B">
        <w:rPr>
          <w:sz w:val="26"/>
          <w:szCs w:val="26"/>
          <w:rtl/>
        </w:rPr>
        <w:t>–</w:t>
      </w:r>
      <w:r w:rsidRPr="00A3110B">
        <w:rPr>
          <w:rFonts w:hint="cs"/>
          <w:sz w:val="26"/>
          <w:szCs w:val="26"/>
          <w:rtl/>
        </w:rPr>
        <w:t xml:space="preserve"> עצם העתקת השאלה אינה מהווה הסכמה לאמור בו או להנחות היסוד שבשאלה </w:t>
      </w:r>
      <w:r w:rsidRPr="00A3110B">
        <w:rPr>
          <w:sz w:val="26"/>
          <w:szCs w:val="26"/>
          <w:rtl/>
        </w:rPr>
        <w:t>–</w:t>
      </w:r>
      <w:r w:rsidRPr="00A3110B">
        <w:rPr>
          <w:rFonts w:hint="cs"/>
          <w:sz w:val="26"/>
          <w:szCs w:val="26"/>
          <w:rtl/>
        </w:rPr>
        <w:t xml:space="preserve"> רק נוסח תשובת העירייה</w:t>
      </w:r>
      <w:r>
        <w:rPr>
          <w:rFonts w:hint="cs"/>
          <w:sz w:val="26"/>
          <w:szCs w:val="26"/>
          <w:rtl/>
        </w:rPr>
        <w:t xml:space="preserve"> תחייב את הצדדים:</w:t>
      </w:r>
    </w:p>
    <w:p w14:paraId="2EEB63FC" w14:textId="77777777" w:rsidR="00C53546" w:rsidRDefault="00C53546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176794D7" w14:textId="77777777" w:rsidR="00C53546" w:rsidRDefault="00C53546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tbl>
      <w:tblPr>
        <w:tblStyle w:val="a7"/>
        <w:bidiVisual/>
        <w:tblW w:w="0" w:type="auto"/>
        <w:tblInd w:w="28" w:type="dxa"/>
        <w:tblLook w:val="04A0" w:firstRow="1" w:lastRow="0" w:firstColumn="1" w:lastColumn="0" w:noHBand="0" w:noVBand="1"/>
      </w:tblPr>
      <w:tblGrid>
        <w:gridCol w:w="707"/>
        <w:gridCol w:w="3544"/>
        <w:gridCol w:w="5093"/>
      </w:tblGrid>
      <w:tr w:rsidR="00C53546" w14:paraId="6938A0F2" w14:textId="77777777" w:rsidTr="00F92C59">
        <w:trPr>
          <w:trHeight w:val="690"/>
        </w:trPr>
        <w:tc>
          <w:tcPr>
            <w:tcW w:w="9344" w:type="dxa"/>
            <w:gridSpan w:val="3"/>
            <w:shd w:val="clear" w:color="auto" w:fill="BFBFBF" w:themeFill="background1" w:themeFillShade="BF"/>
          </w:tcPr>
          <w:p w14:paraId="7BC5AADB" w14:textId="77777777" w:rsidR="00C53546" w:rsidRPr="00C53546" w:rsidRDefault="00C53546" w:rsidP="006E6A10">
            <w:pPr>
              <w:tabs>
                <w:tab w:val="left" w:pos="7966"/>
              </w:tabs>
              <w:jc w:val="center"/>
              <w:rPr>
                <w:sz w:val="28"/>
                <w:rtl/>
              </w:rPr>
            </w:pPr>
            <w:r w:rsidRPr="00C53546">
              <w:rPr>
                <w:rFonts w:hint="cs"/>
                <w:b/>
                <w:bCs/>
                <w:sz w:val="28"/>
                <w:rtl/>
              </w:rPr>
              <w:t>הבהרות ושינויים יזומים  מטעם העירייה</w:t>
            </w:r>
          </w:p>
        </w:tc>
      </w:tr>
      <w:tr w:rsidR="00F92C59" w14:paraId="79614473" w14:textId="77777777" w:rsidTr="000D5D3E">
        <w:trPr>
          <w:trHeight w:val="690"/>
        </w:trPr>
        <w:tc>
          <w:tcPr>
            <w:tcW w:w="707" w:type="dxa"/>
          </w:tcPr>
          <w:p w14:paraId="1640349C" w14:textId="1400710A" w:rsidR="00F92C59" w:rsidRPr="006D03E0" w:rsidRDefault="00F92C59" w:rsidP="006D03E0">
            <w:pPr>
              <w:pStyle w:val="a8"/>
              <w:numPr>
                <w:ilvl w:val="0"/>
                <w:numId w:val="19"/>
              </w:num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7" w:type="dxa"/>
            <w:gridSpan w:val="2"/>
          </w:tcPr>
          <w:p w14:paraId="6FAA4BC2" w14:textId="74A8B3B5" w:rsidR="00F92C59" w:rsidRPr="00CF1A97" w:rsidRDefault="00F92C59" w:rsidP="007577B5">
            <w:pPr>
              <w:jc w:val="both"/>
              <w:rPr>
                <w:b/>
                <w:bCs/>
                <w:sz w:val="28"/>
                <w:rtl/>
              </w:rPr>
            </w:pPr>
            <w:r w:rsidRPr="00CF1A97">
              <w:rPr>
                <w:rFonts w:hint="cs"/>
                <w:b/>
                <w:bCs/>
                <w:sz w:val="28"/>
                <w:rtl/>
              </w:rPr>
              <w:t xml:space="preserve">עיריית נתיבות עדכנה את מסמכי המכרז </w:t>
            </w:r>
            <w:r w:rsidR="00C92ACE">
              <w:rPr>
                <w:rFonts w:hint="cs"/>
                <w:b/>
                <w:bCs/>
                <w:sz w:val="28"/>
                <w:rtl/>
              </w:rPr>
              <w:t>.</w:t>
            </w:r>
          </w:p>
          <w:p w14:paraId="73295798" w14:textId="6FDD6CB2" w:rsidR="00F92C59" w:rsidRPr="00CF1A97" w:rsidRDefault="00F92C59" w:rsidP="00E41381">
            <w:pPr>
              <w:jc w:val="both"/>
              <w:rPr>
                <w:b/>
                <w:bCs/>
                <w:sz w:val="28"/>
                <w:rtl/>
              </w:rPr>
            </w:pPr>
            <w:r w:rsidRPr="00CF1A97">
              <w:rPr>
                <w:rFonts w:hint="cs"/>
                <w:b/>
                <w:bCs/>
                <w:sz w:val="28"/>
                <w:rtl/>
              </w:rPr>
              <w:t>מסמכי המכרז המתוקנים נמצאים באתר העירייה וזמינים לרכי</w:t>
            </w:r>
            <w:r w:rsidR="00415829">
              <w:rPr>
                <w:rFonts w:hint="cs"/>
                <w:b/>
                <w:bCs/>
                <w:sz w:val="28"/>
                <w:rtl/>
              </w:rPr>
              <w:t xml:space="preserve">שה. </w:t>
            </w:r>
          </w:p>
          <w:p w14:paraId="11B8CB70" w14:textId="461EC672" w:rsidR="00F92C59" w:rsidRDefault="00F92C59" w:rsidP="00E4138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 w:rsidRPr="00CF1A97">
              <w:rPr>
                <w:rFonts w:hint="cs"/>
                <w:b/>
                <w:bCs/>
                <w:sz w:val="28"/>
                <w:rtl/>
              </w:rPr>
              <w:t>למען הסר ספק</w:t>
            </w:r>
            <w:r w:rsidR="00E41381" w:rsidRPr="00CF1A97">
              <w:rPr>
                <w:rFonts w:hint="cs"/>
                <w:b/>
                <w:bCs/>
                <w:sz w:val="28"/>
                <w:rtl/>
              </w:rPr>
              <w:t>,</w:t>
            </w:r>
            <w:r w:rsidRPr="00CF1A97">
              <w:rPr>
                <w:rFonts w:hint="cs"/>
                <w:b/>
                <w:bCs/>
                <w:sz w:val="28"/>
                <w:rtl/>
              </w:rPr>
              <w:t xml:space="preserve"> יובהר כי יש להגיש הצעה למכרז אך ורק על בסיס מסמכי המכרז המתוקנים</w:t>
            </w:r>
            <w:r w:rsidR="00E41381" w:rsidRPr="00CF1A97">
              <w:rPr>
                <w:rFonts w:hint="cs"/>
                <w:b/>
                <w:bCs/>
                <w:sz w:val="28"/>
                <w:rtl/>
              </w:rPr>
              <w:t>.</w:t>
            </w:r>
            <w:r w:rsidR="00E41381">
              <w:rPr>
                <w:rFonts w:hint="cs"/>
                <w:b/>
                <w:bCs/>
                <w:sz w:val="28"/>
                <w:rtl/>
              </w:rPr>
              <w:t xml:space="preserve"> </w:t>
            </w:r>
          </w:p>
        </w:tc>
      </w:tr>
      <w:tr w:rsidR="006D03E0" w14:paraId="79D6B004" w14:textId="77777777" w:rsidTr="00F92C59">
        <w:trPr>
          <w:trHeight w:val="690"/>
        </w:trPr>
        <w:tc>
          <w:tcPr>
            <w:tcW w:w="707" w:type="dxa"/>
          </w:tcPr>
          <w:p w14:paraId="4C4B4D71" w14:textId="4784FF9C" w:rsidR="006D03E0" w:rsidRPr="006D03E0" w:rsidRDefault="006D03E0" w:rsidP="006D03E0">
            <w:pPr>
              <w:pStyle w:val="a8"/>
              <w:numPr>
                <w:ilvl w:val="0"/>
                <w:numId w:val="19"/>
              </w:num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7FE6CC4D" w14:textId="33AA605C" w:rsidR="006D03E0" w:rsidRPr="003F5D90" w:rsidRDefault="006D03E0" w:rsidP="006E6A10">
            <w:pPr>
              <w:rPr>
                <w:b/>
                <w:bCs/>
                <w:sz w:val="24"/>
                <w:szCs w:val="24"/>
                <w:rtl/>
              </w:rPr>
            </w:pPr>
            <w:r w:rsidRPr="003F5D90">
              <w:rPr>
                <w:rFonts w:hint="cs"/>
                <w:b/>
                <w:bCs/>
                <w:sz w:val="24"/>
                <w:szCs w:val="24"/>
                <w:rtl/>
              </w:rPr>
              <w:t xml:space="preserve">ערבות </w:t>
            </w:r>
            <w:r w:rsidR="00983048">
              <w:rPr>
                <w:rFonts w:hint="cs"/>
                <w:b/>
                <w:bCs/>
                <w:sz w:val="24"/>
                <w:szCs w:val="24"/>
                <w:rtl/>
              </w:rPr>
              <w:t>מכרז</w:t>
            </w:r>
            <w:r w:rsidRPr="003F5D9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F5D90">
              <w:rPr>
                <w:b/>
                <w:bCs/>
                <w:sz w:val="24"/>
                <w:szCs w:val="24"/>
                <w:rtl/>
              </w:rPr>
              <w:t>–</w:t>
            </w:r>
            <w:r w:rsidRPr="003F5D90">
              <w:rPr>
                <w:rFonts w:hint="cs"/>
                <w:b/>
                <w:bCs/>
                <w:sz w:val="24"/>
                <w:szCs w:val="24"/>
                <w:rtl/>
              </w:rPr>
              <w:t xml:space="preserve"> נספח ג'</w:t>
            </w:r>
          </w:p>
          <w:p w14:paraId="5438A786" w14:textId="77777777" w:rsidR="006D03E0" w:rsidRDefault="006D03E0" w:rsidP="006E6A10">
            <w:pPr>
              <w:rPr>
                <w:rtl/>
              </w:rPr>
            </w:pPr>
          </w:p>
        </w:tc>
        <w:tc>
          <w:tcPr>
            <w:tcW w:w="5093" w:type="dxa"/>
          </w:tcPr>
          <w:p w14:paraId="4622172E" w14:textId="73F5BC8F" w:rsidR="006D03E0" w:rsidRDefault="006D03E0" w:rsidP="006E6A10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חל שינוי בנוסח הערבות.</w:t>
            </w:r>
          </w:p>
          <w:p w14:paraId="6687911B" w14:textId="4708E71E" w:rsidR="006D03E0" w:rsidRDefault="006D03E0" w:rsidP="006E6A10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יש להגיש הצעה בהתאם לנוסח המתוקן של מסמכי המכרז </w:t>
            </w:r>
          </w:p>
        </w:tc>
      </w:tr>
      <w:tr w:rsidR="006D03E0" w14:paraId="00315F2D" w14:textId="77777777" w:rsidTr="00F92C59">
        <w:trPr>
          <w:trHeight w:val="690"/>
        </w:trPr>
        <w:tc>
          <w:tcPr>
            <w:tcW w:w="707" w:type="dxa"/>
          </w:tcPr>
          <w:p w14:paraId="6D3E647F" w14:textId="705ED3AF" w:rsidR="006D03E0" w:rsidRPr="006D03E0" w:rsidRDefault="006D03E0" w:rsidP="006D03E0">
            <w:pPr>
              <w:pStyle w:val="a8"/>
              <w:numPr>
                <w:ilvl w:val="0"/>
                <w:numId w:val="19"/>
              </w:num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72BC7427" w14:textId="358FC216" w:rsidR="006D03E0" w:rsidRPr="001301DD" w:rsidRDefault="006D03E0" w:rsidP="00547A8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לוח זמנים לביצוע</w:t>
            </w:r>
          </w:p>
        </w:tc>
        <w:tc>
          <w:tcPr>
            <w:tcW w:w="5093" w:type="dxa"/>
          </w:tcPr>
          <w:p w14:paraId="2F9F82CA" w14:textId="77777777" w:rsidR="006D03E0" w:rsidRDefault="006D03E0" w:rsidP="00651F28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תקופת ביצוע מלוא העבודות  הנה </w:t>
            </w:r>
            <w:r w:rsidRPr="00561356">
              <w:rPr>
                <w:rFonts w:hint="cs"/>
                <w:b/>
                <w:bCs/>
                <w:sz w:val="24"/>
                <w:szCs w:val="24"/>
                <w:rtl/>
              </w:rPr>
              <w:t>24 חודשים</w:t>
            </w:r>
            <w:r>
              <w:rPr>
                <w:rFonts w:hint="cs"/>
                <w:sz w:val="24"/>
                <w:szCs w:val="24"/>
                <w:rtl/>
              </w:rPr>
              <w:t xml:space="preserve"> מיום מסירת צו התחלת עבודה. </w:t>
            </w:r>
          </w:p>
          <w:p w14:paraId="1569582D" w14:textId="77777777" w:rsidR="006D03E0" w:rsidRDefault="006D03E0" w:rsidP="006D03E0">
            <w:pPr>
              <w:rPr>
                <w:sz w:val="24"/>
                <w:szCs w:val="24"/>
                <w:rtl/>
              </w:rPr>
            </w:pPr>
          </w:p>
          <w:p w14:paraId="42C0F986" w14:textId="7C6AEC90" w:rsidR="006D03E0" w:rsidRDefault="006D03E0" w:rsidP="006D03E0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 w:rsidRPr="00651F28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יחד עם זאת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51F28">
              <w:rPr>
                <w:rFonts w:hint="cs"/>
                <w:sz w:val="24"/>
                <w:szCs w:val="24"/>
                <w:rtl/>
              </w:rPr>
              <w:t xml:space="preserve">, </w:t>
            </w:r>
            <w:r>
              <w:rPr>
                <w:rFonts w:hint="cs"/>
                <w:sz w:val="24"/>
                <w:szCs w:val="24"/>
                <w:rtl/>
              </w:rPr>
              <w:t xml:space="preserve">תקופת ביצוע הכבישים (שכבת אספלט סופית של שלב א' לביצוע במסגרת מכרז/חוזה זה) הנה </w:t>
            </w:r>
            <w:r w:rsidRPr="00561356">
              <w:rPr>
                <w:rFonts w:hint="cs"/>
                <w:b/>
                <w:bCs/>
                <w:sz w:val="24"/>
                <w:szCs w:val="24"/>
                <w:rtl/>
              </w:rPr>
              <w:t xml:space="preserve">12 חודשים </w:t>
            </w:r>
            <w:r>
              <w:rPr>
                <w:rFonts w:hint="cs"/>
                <w:sz w:val="24"/>
                <w:szCs w:val="24"/>
                <w:rtl/>
              </w:rPr>
              <w:t>מיום מסירת צו התחלת העבודה, בסיומה יוחל במסירת המגרשים ליזמים.</w:t>
            </w:r>
          </w:p>
        </w:tc>
      </w:tr>
      <w:tr w:rsidR="00F92C59" w14:paraId="3CF445A9" w14:textId="77777777" w:rsidTr="00F92C59">
        <w:trPr>
          <w:trHeight w:val="690"/>
        </w:trPr>
        <w:tc>
          <w:tcPr>
            <w:tcW w:w="707" w:type="dxa"/>
          </w:tcPr>
          <w:p w14:paraId="5F3FD988" w14:textId="77777777" w:rsidR="00F92C59" w:rsidRPr="006D03E0" w:rsidRDefault="00F92C59" w:rsidP="006D03E0">
            <w:pPr>
              <w:pStyle w:val="a8"/>
              <w:numPr>
                <w:ilvl w:val="0"/>
                <w:numId w:val="19"/>
              </w:num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2F891DBC" w14:textId="3E25EA49" w:rsidR="00F92C59" w:rsidRDefault="00F92C59" w:rsidP="00547A88">
            <w:pPr>
              <w:rPr>
                <w:sz w:val="24"/>
                <w:szCs w:val="24"/>
                <w:rtl/>
              </w:rPr>
            </w:pPr>
            <w:r w:rsidRPr="00651F28">
              <w:rPr>
                <w:rFonts w:hint="cs"/>
                <w:b/>
                <w:bCs/>
                <w:sz w:val="24"/>
                <w:szCs w:val="24"/>
                <w:rtl/>
              </w:rPr>
              <w:t>מצעים חומר נברר וחומר אינרטי</w:t>
            </w:r>
          </w:p>
        </w:tc>
        <w:tc>
          <w:tcPr>
            <w:tcW w:w="5093" w:type="dxa"/>
          </w:tcPr>
          <w:p w14:paraId="0E431D6D" w14:textId="77777777" w:rsidR="00F92C59" w:rsidRDefault="00F92C59" w:rsidP="00F92C59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חומרים אלו יסופקו ממחצבות מורשות שתאושרנה מראש ע"י העירייה. </w:t>
            </w:r>
          </w:p>
          <w:p w14:paraId="3A467B48" w14:textId="3FCC8D81" w:rsidR="00F92C59" w:rsidRDefault="00F92C59" w:rsidP="00F92C59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לא יותר שימוש בחומרים ממוחזרים וכן לא תותר הכנת חומרים אלו באתר. חומרים אלו יעמדו במפרטים המצורפים ויאושרו ע"י המזמין מראש ובכתב לפני הספקתם. המציעים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יקחו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דרישה זו בחשבון בעת הגשת הצעתם למכרז.</w:t>
            </w:r>
          </w:p>
        </w:tc>
      </w:tr>
    </w:tbl>
    <w:p w14:paraId="011CFE7E" w14:textId="77777777" w:rsidR="00C53546" w:rsidRDefault="00C53546" w:rsidP="00C53546">
      <w:pPr>
        <w:tabs>
          <w:tab w:val="left" w:pos="7966"/>
        </w:tabs>
        <w:jc w:val="both"/>
        <w:rPr>
          <w:sz w:val="26"/>
          <w:szCs w:val="26"/>
          <w:rtl/>
        </w:rPr>
      </w:pPr>
    </w:p>
    <w:p w14:paraId="505BE3A4" w14:textId="77777777" w:rsidR="00C53546" w:rsidRDefault="00C53546">
      <w:pPr>
        <w:tabs>
          <w:tab w:val="left" w:pos="7966"/>
        </w:tabs>
        <w:ind w:left="28"/>
        <w:jc w:val="both"/>
        <w:rPr>
          <w:sz w:val="26"/>
          <w:szCs w:val="26"/>
          <w:rtl/>
        </w:rPr>
      </w:pPr>
    </w:p>
    <w:p w14:paraId="7038F7CF" w14:textId="77777777" w:rsidR="00940CC9" w:rsidRDefault="00940CC9">
      <w:pPr>
        <w:tabs>
          <w:tab w:val="left" w:pos="7966"/>
        </w:tabs>
        <w:ind w:left="28"/>
        <w:jc w:val="both"/>
        <w:rPr>
          <w:sz w:val="24"/>
          <w:szCs w:val="24"/>
          <w:rtl/>
        </w:rPr>
      </w:pPr>
    </w:p>
    <w:tbl>
      <w:tblPr>
        <w:tblStyle w:val="a7"/>
        <w:bidiVisual/>
        <w:tblW w:w="0" w:type="auto"/>
        <w:tblInd w:w="28" w:type="dxa"/>
        <w:tblLook w:val="04A0" w:firstRow="1" w:lastRow="0" w:firstColumn="1" w:lastColumn="0" w:noHBand="0" w:noVBand="1"/>
      </w:tblPr>
      <w:tblGrid>
        <w:gridCol w:w="734"/>
        <w:gridCol w:w="980"/>
        <w:gridCol w:w="4228"/>
        <w:gridCol w:w="3402"/>
      </w:tblGrid>
      <w:tr w:rsidR="00C53546" w14:paraId="7440DFF1" w14:textId="77777777" w:rsidTr="00BF6E9D">
        <w:trPr>
          <w:tblHeader/>
        </w:trPr>
        <w:tc>
          <w:tcPr>
            <w:tcW w:w="9344" w:type="dxa"/>
            <w:gridSpan w:val="4"/>
            <w:shd w:val="clear" w:color="auto" w:fill="BFBFBF" w:themeFill="background1" w:themeFillShade="BF"/>
          </w:tcPr>
          <w:p w14:paraId="5487AE91" w14:textId="77777777" w:rsidR="00C53546" w:rsidRPr="00C53546" w:rsidRDefault="00C53546" w:rsidP="00C53546">
            <w:pPr>
              <w:tabs>
                <w:tab w:val="left" w:pos="796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53546">
              <w:rPr>
                <w:rFonts w:hint="cs"/>
                <w:b/>
                <w:bCs/>
                <w:sz w:val="32"/>
                <w:szCs w:val="32"/>
                <w:rtl/>
              </w:rPr>
              <w:t>שאלות ותשובות</w:t>
            </w:r>
          </w:p>
        </w:tc>
      </w:tr>
      <w:tr w:rsidR="00827431" w14:paraId="0C4D8A58" w14:textId="77777777" w:rsidTr="008E7DEE">
        <w:trPr>
          <w:tblHeader/>
        </w:trPr>
        <w:tc>
          <w:tcPr>
            <w:tcW w:w="734" w:type="dxa"/>
            <w:shd w:val="clear" w:color="auto" w:fill="F2F2F2" w:themeFill="background1" w:themeFillShade="F2"/>
          </w:tcPr>
          <w:p w14:paraId="77DC16A2" w14:textId="77777777" w:rsidR="00827431" w:rsidRDefault="00827431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</w:tc>
        <w:tc>
          <w:tcPr>
            <w:tcW w:w="980" w:type="dxa"/>
            <w:shd w:val="clear" w:color="auto" w:fill="F2F2F2" w:themeFill="background1" w:themeFillShade="F2"/>
          </w:tcPr>
          <w:p w14:paraId="515D4F3E" w14:textId="77777777" w:rsidR="00827431" w:rsidRDefault="00827431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סעיף במכרז</w:t>
            </w:r>
          </w:p>
        </w:tc>
        <w:tc>
          <w:tcPr>
            <w:tcW w:w="4228" w:type="dxa"/>
            <w:shd w:val="clear" w:color="auto" w:fill="F2F2F2" w:themeFill="background1" w:themeFillShade="F2"/>
          </w:tcPr>
          <w:p w14:paraId="03B5EA40" w14:textId="77777777" w:rsidR="00827431" w:rsidRDefault="00827431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נוסח השאלה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4E83BDD" w14:textId="77777777" w:rsidR="00827431" w:rsidRDefault="00827431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התייחסות/ תשובת העירייה</w:t>
            </w:r>
          </w:p>
        </w:tc>
      </w:tr>
      <w:tr w:rsidR="00827431" w14:paraId="38FB9CEA" w14:textId="77777777" w:rsidTr="008E7DEE">
        <w:trPr>
          <w:trHeight w:val="1344"/>
        </w:trPr>
        <w:tc>
          <w:tcPr>
            <w:tcW w:w="734" w:type="dxa"/>
            <w:vMerge w:val="restart"/>
          </w:tcPr>
          <w:p w14:paraId="15C10B97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 w:val="restart"/>
          </w:tcPr>
          <w:p w14:paraId="29E66D7C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4א(6)</w:t>
            </w:r>
          </w:p>
        </w:tc>
        <w:tc>
          <w:tcPr>
            <w:tcW w:w="4228" w:type="dxa"/>
          </w:tcPr>
          <w:p w14:paraId="0802E86B" w14:textId="77777777" w:rsidR="00827431" w:rsidRDefault="00827431" w:rsidP="00A3110B">
            <w:pPr>
              <w:pStyle w:val="a8"/>
              <w:numPr>
                <w:ilvl w:val="0"/>
                <w:numId w:val="12"/>
              </w:numPr>
              <w:ind w:left="293" w:hanging="293"/>
              <w:jc w:val="both"/>
              <w:rPr>
                <w:sz w:val="24"/>
                <w:szCs w:val="24"/>
              </w:rPr>
            </w:pPr>
            <w:r w:rsidRPr="00A3110B">
              <w:rPr>
                <w:rFonts w:hint="cs"/>
                <w:sz w:val="24"/>
                <w:szCs w:val="24"/>
                <w:rtl/>
              </w:rPr>
              <w:t>נבקש לבטל את הדרישה בתנאי סף לניסיון קודם דווקא בשכונות מגורים חדשות של לפחות 1,000 יחידות דיור , כמו מגבלות הכמות והשטח הכלולה בסעיף</w:t>
            </w:r>
            <w:r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14:paraId="729B1773" w14:textId="77777777" w:rsidR="00827431" w:rsidRPr="00A3110B" w:rsidRDefault="00827431" w:rsidP="00A3110B">
            <w:pPr>
              <w:ind w:left="360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42DF9B07" w14:textId="77777777" w:rsidR="00827431" w:rsidRPr="00A3110B" w:rsidRDefault="00827431" w:rsidP="00A3110B">
            <w:pPr>
              <w:pStyle w:val="a8"/>
              <w:tabs>
                <w:tab w:val="left" w:pos="7966"/>
              </w:tabs>
              <w:ind w:hanging="575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  <w:p w14:paraId="174B25F3" w14:textId="77777777" w:rsidR="00827431" w:rsidRDefault="00827431" w:rsidP="00A3110B">
            <w:pPr>
              <w:tabs>
                <w:tab w:val="left" w:pos="7966"/>
              </w:tabs>
              <w:ind w:hanging="575"/>
              <w:jc w:val="both"/>
              <w:rPr>
                <w:sz w:val="24"/>
                <w:szCs w:val="24"/>
                <w:rtl/>
              </w:rPr>
            </w:pPr>
          </w:p>
        </w:tc>
      </w:tr>
      <w:tr w:rsidR="00827431" w14:paraId="56C51EDE" w14:textId="77777777" w:rsidTr="008E7DEE">
        <w:trPr>
          <w:trHeight w:val="1344"/>
        </w:trPr>
        <w:tc>
          <w:tcPr>
            <w:tcW w:w="734" w:type="dxa"/>
            <w:vMerge/>
          </w:tcPr>
          <w:p w14:paraId="27BF9B58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7CB74CBE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1F0803B2" w14:textId="77777777" w:rsidR="00827431" w:rsidRPr="00A3110B" w:rsidRDefault="00827431" w:rsidP="00A3110B">
            <w:pPr>
              <w:pStyle w:val="a8"/>
              <w:numPr>
                <w:ilvl w:val="0"/>
                <w:numId w:val="12"/>
              </w:numPr>
              <w:ind w:left="293" w:hanging="293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נבקש לבטל את</w:t>
            </w:r>
            <w:r w:rsidRPr="00A3110B">
              <w:rPr>
                <w:rFonts w:hint="cs"/>
                <w:sz w:val="24"/>
                <w:szCs w:val="24"/>
                <w:rtl/>
              </w:rPr>
              <w:t xml:space="preserve"> הדרישה לצירוף חשבונות סופיים כתנאי סף במכרז לצורך הוכחת ניסיון קודם.</w:t>
            </w:r>
          </w:p>
        </w:tc>
        <w:tc>
          <w:tcPr>
            <w:tcW w:w="3402" w:type="dxa"/>
          </w:tcPr>
          <w:p w14:paraId="11828215" w14:textId="4D14C7D6" w:rsidR="00827431" w:rsidRPr="00A3110B" w:rsidRDefault="00827431" w:rsidP="00A3110B">
            <w:pPr>
              <w:pStyle w:val="a8"/>
              <w:tabs>
                <w:tab w:val="left" w:pos="7966"/>
              </w:tabs>
              <w:ind w:left="145"/>
              <w:jc w:val="both"/>
              <w:rPr>
                <w:sz w:val="24"/>
                <w:szCs w:val="24"/>
                <w:rtl/>
              </w:rPr>
            </w:pPr>
            <w:r w:rsidRPr="00800962">
              <w:rPr>
                <w:rFonts w:hint="cs"/>
                <w:sz w:val="24"/>
                <w:szCs w:val="24"/>
                <w:rtl/>
              </w:rPr>
              <w:t>ניתן להציג</w:t>
            </w:r>
            <w:r w:rsidR="00547A88" w:rsidRPr="00800962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602EF" w:rsidRPr="00800962">
              <w:rPr>
                <w:rFonts w:hint="cs"/>
                <w:sz w:val="24"/>
                <w:szCs w:val="24"/>
                <w:rtl/>
              </w:rPr>
              <w:t>פרויקט</w:t>
            </w:r>
            <w:r w:rsidR="003F5D90" w:rsidRPr="00800962">
              <w:rPr>
                <w:rFonts w:hint="cs"/>
                <w:sz w:val="24"/>
                <w:szCs w:val="24"/>
                <w:rtl/>
              </w:rPr>
              <w:t>ים</w:t>
            </w:r>
            <w:r w:rsidR="007602EF" w:rsidRPr="00800962">
              <w:rPr>
                <w:rFonts w:hint="cs"/>
                <w:sz w:val="24"/>
                <w:szCs w:val="24"/>
                <w:rtl/>
              </w:rPr>
              <w:t xml:space="preserve"> אשר התקבלה בגינ</w:t>
            </w:r>
            <w:r w:rsidR="003F5D90" w:rsidRPr="00800962">
              <w:rPr>
                <w:rFonts w:hint="cs"/>
                <w:sz w:val="24"/>
                <w:szCs w:val="24"/>
                <w:rtl/>
              </w:rPr>
              <w:t>ם</w:t>
            </w:r>
            <w:r w:rsidR="007602EF" w:rsidRPr="00800962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00962">
              <w:rPr>
                <w:rFonts w:hint="cs"/>
                <w:sz w:val="24"/>
                <w:szCs w:val="24"/>
                <w:rtl/>
              </w:rPr>
              <w:t xml:space="preserve">תעודת מסירה חתומה על ידי מזמין העבודה </w:t>
            </w:r>
            <w:r w:rsidR="007602EF" w:rsidRPr="00800962">
              <w:rPr>
                <w:rFonts w:hint="cs"/>
                <w:sz w:val="24"/>
                <w:szCs w:val="24"/>
                <w:rtl/>
              </w:rPr>
              <w:t>עד למועד האחרון להגשת ההצעות למכרז</w:t>
            </w:r>
            <w:r w:rsidR="00C93451" w:rsidRPr="00800962">
              <w:rPr>
                <w:rFonts w:hint="cs"/>
                <w:sz w:val="24"/>
                <w:szCs w:val="24"/>
                <w:rtl/>
              </w:rPr>
              <w:t xml:space="preserve"> יש לצרף גם חשבונות טרום סופיים.</w:t>
            </w:r>
            <w:r w:rsidR="00C93451"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</w:tr>
      <w:tr w:rsidR="00827431" w14:paraId="3158AE22" w14:textId="77777777" w:rsidTr="008E7DEE">
        <w:tc>
          <w:tcPr>
            <w:tcW w:w="734" w:type="dxa"/>
          </w:tcPr>
          <w:p w14:paraId="633E102D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5EFF6CE8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4א(6) </w:t>
            </w:r>
          </w:p>
        </w:tc>
        <w:tc>
          <w:tcPr>
            <w:tcW w:w="4228" w:type="dxa"/>
          </w:tcPr>
          <w:p w14:paraId="0801E2F7" w14:textId="77777777" w:rsidR="00827431" w:rsidRDefault="0082743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נבקש לאפשר להציג פרויקטים שבוצעו בשטח שאינו שכונת מגורים</w:t>
            </w:r>
          </w:p>
        </w:tc>
        <w:tc>
          <w:tcPr>
            <w:tcW w:w="3402" w:type="dxa"/>
          </w:tcPr>
          <w:p w14:paraId="4B6CD9AC" w14:textId="77777777" w:rsidR="00827431" w:rsidRDefault="00827431" w:rsidP="00A3110B">
            <w:pPr>
              <w:pStyle w:val="a8"/>
              <w:tabs>
                <w:tab w:val="left" w:pos="7966"/>
              </w:tabs>
              <w:ind w:left="145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נדחית. </w:t>
            </w:r>
          </w:p>
          <w:p w14:paraId="29E78150" w14:textId="77777777" w:rsidR="00827431" w:rsidRDefault="00827431" w:rsidP="00A3110B">
            <w:pPr>
              <w:pStyle w:val="a8"/>
              <w:tabs>
                <w:tab w:val="left" w:pos="7966"/>
              </w:tabs>
              <w:ind w:left="145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תשומת לב המשתתפים כי בהתאם להוראות המכרז ניתן להציג גם פרויקטים שבוצעו </w:t>
            </w:r>
            <w:r w:rsidRPr="00A3110B">
              <w:rPr>
                <w:rFonts w:hint="cs"/>
                <w:sz w:val="24"/>
                <w:szCs w:val="24"/>
                <w:rtl/>
              </w:rPr>
              <w:t>באזור תעסוקה / תעשייה בשטח של לפחות 500 דונם.</w:t>
            </w:r>
          </w:p>
        </w:tc>
      </w:tr>
      <w:tr w:rsidR="00827431" w14:paraId="7EFCB244" w14:textId="77777777" w:rsidTr="008E7DEE">
        <w:tc>
          <w:tcPr>
            <w:tcW w:w="734" w:type="dxa"/>
          </w:tcPr>
          <w:p w14:paraId="321D208D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22767EAA" w14:textId="77777777" w:rsidR="00827431" w:rsidRDefault="009916D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4א(6)</w:t>
            </w:r>
          </w:p>
        </w:tc>
        <w:tc>
          <w:tcPr>
            <w:tcW w:w="4228" w:type="dxa"/>
          </w:tcPr>
          <w:p w14:paraId="36E61780" w14:textId="77777777" w:rsidR="00827431" w:rsidRDefault="00827431" w:rsidP="009E7452">
            <w:pPr>
              <w:pStyle w:val="aa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נבקש לאפשר להציג 2 פרויקטים שהיקפם המצטבר הוא לפחות 120,000 ₪ (לא כולל מע"מ) אשר הסתיימו במהלך 6 השנים האחרונות, ובלבד שהיקפו הכספי של כל פרויקט לא יפחת מ-45,000,000 ₪ ואשר בוצעו בשכונות מגורים חדשות של לפחות 1,000 יחידות דיור, בבניה רוויה או לפחות 600 יחידות דיור בבניה לא רוויה (צמודות קרקע). </w:t>
            </w:r>
          </w:p>
        </w:tc>
        <w:tc>
          <w:tcPr>
            <w:tcW w:w="3402" w:type="dxa"/>
          </w:tcPr>
          <w:p w14:paraId="342057E0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57D80610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הבקשה נדחית.</w:t>
            </w:r>
          </w:p>
          <w:p w14:paraId="156D7DEA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תשומת לב המשתתפים כי ניתן להציג יחידות דיור בבניה רוויה/ לא רוויה. </w:t>
            </w:r>
          </w:p>
          <w:p w14:paraId="24843547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</w:tr>
      <w:tr w:rsidR="00827431" w14:paraId="41D04419" w14:textId="77777777" w:rsidTr="008E7DEE">
        <w:tc>
          <w:tcPr>
            <w:tcW w:w="734" w:type="dxa"/>
          </w:tcPr>
          <w:p w14:paraId="3F4FD3DD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747F942F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5D64B32D" w14:textId="77777777" w:rsidR="00827431" w:rsidRDefault="00827431" w:rsidP="009E7452">
            <w:pPr>
              <w:pStyle w:val="aa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האם ניתן לקבל את כתב הכמויות בפורמט אקסל? </w:t>
            </w:r>
          </w:p>
        </w:tc>
        <w:tc>
          <w:tcPr>
            <w:tcW w:w="3402" w:type="dxa"/>
          </w:tcPr>
          <w:p w14:paraId="7B3AB8F5" w14:textId="77777777" w:rsidR="00827431" w:rsidRPr="00F47F0E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 w:rsidRPr="00F47F0E">
              <w:rPr>
                <w:rFonts w:hint="cs"/>
                <w:sz w:val="24"/>
                <w:szCs w:val="24"/>
                <w:rtl/>
              </w:rPr>
              <w:t xml:space="preserve">אין מניעה. </w:t>
            </w:r>
          </w:p>
          <w:p w14:paraId="16D699A0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 w:rsidRPr="00F47F0E">
              <w:rPr>
                <w:rFonts w:hint="cs"/>
                <w:sz w:val="24"/>
                <w:szCs w:val="24"/>
                <w:rtl/>
              </w:rPr>
              <w:t>מצ"ב כתב כמויות מתוקן בפורמט אקסל.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827431" w14:paraId="5F6D83DE" w14:textId="77777777" w:rsidTr="008E7DEE">
        <w:tc>
          <w:tcPr>
            <w:tcW w:w="734" w:type="dxa"/>
          </w:tcPr>
          <w:p w14:paraId="6DD15D07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13EACF9B" w14:textId="77777777" w:rsidR="00827431" w:rsidRDefault="009916D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4א(6)</w:t>
            </w:r>
          </w:p>
        </w:tc>
        <w:tc>
          <w:tcPr>
            <w:tcW w:w="4228" w:type="dxa"/>
          </w:tcPr>
          <w:p w14:paraId="322B1CBD" w14:textId="77777777" w:rsidR="00827431" w:rsidRPr="00B839A3" w:rsidRDefault="00827431" w:rsidP="00B839A3">
            <w:pPr>
              <w:numPr>
                <w:ilvl w:val="0"/>
                <w:numId w:val="8"/>
              </w:numPr>
              <w:tabs>
                <w:tab w:val="left" w:pos="1886"/>
              </w:tabs>
              <w:spacing w:before="120" w:after="120" w:line="360" w:lineRule="auto"/>
              <w:ind w:left="84" w:hanging="341"/>
              <w:jc w:val="both"/>
              <w:rPr>
                <w:rFonts w:ascii="David" w:eastAsiaTheme="minorHAnsi" w:hAnsi="David"/>
                <w:sz w:val="24"/>
                <w:szCs w:val="24"/>
                <w:lang w:eastAsia="en-US"/>
              </w:rPr>
            </w:pPr>
            <w:r w:rsidRPr="00B839A3">
              <w:rPr>
                <w:rFonts w:ascii="David" w:eastAsiaTheme="minorHAnsi" w:hAnsi="David"/>
                <w:sz w:val="24"/>
                <w:szCs w:val="24"/>
                <w:rtl/>
                <w:lang w:eastAsia="en-US"/>
              </w:rPr>
              <w:t xml:space="preserve">הרינו לבקש כי התנאי המוקדם שבסעיף 4א'(6) בדבר ניסיון המציע, יעודכן כך </w:t>
            </w:r>
            <w:r w:rsidRPr="00B839A3">
              <w:rPr>
                <w:rFonts w:ascii="David" w:eastAsiaTheme="minorHAnsi" w:hAnsi="David"/>
                <w:sz w:val="24"/>
                <w:szCs w:val="24"/>
                <w:u w:val="single"/>
                <w:rtl/>
                <w:lang w:eastAsia="en-US"/>
              </w:rPr>
              <w:t>שימחקו</w:t>
            </w:r>
            <w:r w:rsidRPr="00B839A3">
              <w:rPr>
                <w:rFonts w:ascii="David" w:eastAsiaTheme="minorHAnsi" w:hAnsi="David"/>
                <w:sz w:val="24"/>
                <w:szCs w:val="24"/>
                <w:rtl/>
                <w:lang w:eastAsia="en-US"/>
              </w:rPr>
              <w:t xml:space="preserve"> המילים "</w:t>
            </w:r>
            <w:r w:rsidRPr="00B839A3">
              <w:rPr>
                <w:rFonts w:ascii="David" w:eastAsiaTheme="minorHAnsi" w:hAnsi="David"/>
                <w:i/>
                <w:iCs/>
                <w:sz w:val="24"/>
                <w:szCs w:val="24"/>
                <w:rtl/>
                <w:lang w:eastAsia="en-US"/>
              </w:rPr>
              <w:t>ואשר בוצעו ב:שכונות מגורים חדשות של לפחות 1,000 יחידות דיור, ועל פני שטח של 500 דונם לפחות או באזור תעסוקה בשטח של לפחות 500 דונם</w:t>
            </w:r>
            <w:r w:rsidRPr="00B839A3">
              <w:rPr>
                <w:rFonts w:ascii="David" w:eastAsiaTheme="minorHAnsi" w:hAnsi="David"/>
                <w:sz w:val="24"/>
                <w:szCs w:val="24"/>
                <w:rtl/>
                <w:lang w:eastAsia="en-US"/>
              </w:rPr>
              <w:t>"</w:t>
            </w:r>
          </w:p>
          <w:p w14:paraId="3AFA57AD" w14:textId="77777777" w:rsidR="00827431" w:rsidRPr="001977DE" w:rsidRDefault="00827431" w:rsidP="00902153">
            <w:pPr>
              <w:rPr>
                <w:rFonts w:ascii="David" w:hAnsi="David"/>
                <w:sz w:val="28"/>
                <w:rtl/>
              </w:rPr>
            </w:pPr>
          </w:p>
          <w:p w14:paraId="31025998" w14:textId="77777777" w:rsidR="00827431" w:rsidRPr="00B839A3" w:rsidRDefault="00827431" w:rsidP="009E7452">
            <w:pPr>
              <w:pStyle w:val="aa"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4233FC94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827431" w14:paraId="0C1E4459" w14:textId="77777777" w:rsidTr="008E7DEE">
        <w:tc>
          <w:tcPr>
            <w:tcW w:w="734" w:type="dxa"/>
          </w:tcPr>
          <w:p w14:paraId="0768CE25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5AB90388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4א(6)</w:t>
            </w:r>
          </w:p>
        </w:tc>
        <w:tc>
          <w:tcPr>
            <w:tcW w:w="4228" w:type="dxa"/>
          </w:tcPr>
          <w:p w14:paraId="06C96B0D" w14:textId="77777777" w:rsidR="00827431" w:rsidRDefault="00827431" w:rsidP="00902153">
            <w:pPr>
              <w:pStyle w:val="aa"/>
              <w:jc w:val="both"/>
              <w:rPr>
                <w:sz w:val="24"/>
                <w:szCs w:val="24"/>
                <w:rtl/>
              </w:rPr>
            </w:pPr>
            <w:r w:rsidRPr="00902153">
              <w:rPr>
                <w:sz w:val="24"/>
                <w:szCs w:val="24"/>
                <w:rtl/>
              </w:rPr>
              <w:t>בחוברת מכרז סעיף 4 א' – תנאי סף להשתתפות במכרז סעיף (6) רשום: "אישור על כך שהמציע ביצע והשלים, כקבלן ראשי"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14:paraId="781C81C0" w14:textId="77777777" w:rsidR="00827431" w:rsidRPr="00902153" w:rsidRDefault="00827431" w:rsidP="00902153">
            <w:pPr>
              <w:pStyle w:val="aa"/>
              <w:jc w:val="both"/>
              <w:rPr>
                <w:sz w:val="24"/>
                <w:szCs w:val="24"/>
                <w:rtl/>
              </w:rPr>
            </w:pPr>
            <w:r w:rsidRPr="00902153">
              <w:rPr>
                <w:sz w:val="24"/>
                <w:szCs w:val="24"/>
                <w:rtl/>
              </w:rPr>
              <w:t xml:space="preserve">האם ניתן להוסיף לתנאי זה קבלן משנה? </w:t>
            </w:r>
            <w:r w:rsidRPr="00902153">
              <w:rPr>
                <w:sz w:val="24"/>
                <w:szCs w:val="24"/>
                <w:rtl/>
              </w:rPr>
              <w:br/>
              <w:t>כלומר, "ביצע והשלים כקבלן ראשי ו/או כקבלן משנה".</w:t>
            </w:r>
            <w:r w:rsidRPr="00902153">
              <w:rPr>
                <w:sz w:val="24"/>
                <w:szCs w:val="24"/>
                <w:rtl/>
              </w:rPr>
              <w:br/>
            </w:r>
            <w:r w:rsidRPr="00902153">
              <w:rPr>
                <w:sz w:val="24"/>
                <w:szCs w:val="24"/>
                <w:rtl/>
              </w:rPr>
              <w:br/>
              <w:t>אנו חברה בעלת סיווג ג' 5</w:t>
            </w:r>
            <w:r w:rsidRPr="00902153">
              <w:rPr>
                <w:rFonts w:hint="cs"/>
                <w:sz w:val="24"/>
                <w:szCs w:val="24"/>
                <w:rtl/>
              </w:rPr>
              <w:t>,</w:t>
            </w:r>
            <w:r w:rsidRPr="00902153">
              <w:rPr>
                <w:sz w:val="24"/>
                <w:szCs w:val="24"/>
                <w:rtl/>
              </w:rPr>
              <w:t xml:space="preserve"> מעוניינים להשתתף במכרז </w:t>
            </w:r>
            <w:r w:rsidRPr="00902153">
              <w:rPr>
                <w:rFonts w:hint="cs"/>
                <w:sz w:val="24"/>
                <w:szCs w:val="24"/>
                <w:rtl/>
              </w:rPr>
              <w:t>הנ"ל</w:t>
            </w:r>
            <w:r w:rsidRPr="00902153">
              <w:rPr>
                <w:sz w:val="24"/>
                <w:szCs w:val="24"/>
                <w:rtl/>
              </w:rPr>
              <w:t xml:space="preserve"> ויכולים לעמוד בתנאי סף זה מאחר ובוצעו על ידינו פרויקטים בהיקף הנדרש כקבלן משנה.</w:t>
            </w:r>
          </w:p>
          <w:p w14:paraId="78AA8D25" w14:textId="77777777" w:rsidR="00827431" w:rsidRPr="00B839A3" w:rsidRDefault="00827431" w:rsidP="00902153">
            <w:pPr>
              <w:pStyle w:val="aa"/>
              <w:jc w:val="both"/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41F5C1F2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827431" w14:paraId="7BF813DE" w14:textId="77777777" w:rsidTr="008E7DEE">
        <w:tc>
          <w:tcPr>
            <w:tcW w:w="734" w:type="dxa"/>
          </w:tcPr>
          <w:p w14:paraId="0030BF3C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69251D69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4FE64353" w14:textId="77777777" w:rsidR="00827431" w:rsidRDefault="00827431" w:rsidP="00D8195B">
            <w:pPr>
              <w:spacing w:before="100" w:after="10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חברתנו ביצעה והשלימה עבודה כקבלן ראשי, של 2 פרויקטים הנדרשים לפי תנאי הסף, חשבון סופי  של אחד הפרויקטים אשר הסתיים ונמסר לרשות ונחתם ע"י כל מחלקות העירייה, נמצא בתהליך הפקה.</w:t>
            </w:r>
          </w:p>
          <w:p w14:paraId="4FB1AAE2" w14:textId="77777777" w:rsidR="00827431" w:rsidRPr="00902153" w:rsidRDefault="00827431" w:rsidP="00D8195B">
            <w:pPr>
              <w:pStyle w:val="aa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האם יהיה ניתן להסתמך על אישור מנהל פרויקט שהעבודה הסתיימה וחשבון סופי נמצא בתהליך אישור סופי.?</w:t>
            </w:r>
          </w:p>
        </w:tc>
        <w:tc>
          <w:tcPr>
            <w:tcW w:w="3402" w:type="dxa"/>
          </w:tcPr>
          <w:p w14:paraId="6DF570DF" w14:textId="3ED4A44B" w:rsidR="00827431" w:rsidRDefault="007602E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 w:rsidRPr="00800962">
              <w:rPr>
                <w:rFonts w:hint="cs"/>
                <w:sz w:val="24"/>
                <w:szCs w:val="24"/>
                <w:rtl/>
              </w:rPr>
              <w:t xml:space="preserve">ניתן להציג פרויקט אשר </w:t>
            </w:r>
            <w:r w:rsidRPr="00800962">
              <w:rPr>
                <w:rFonts w:hint="cs"/>
                <w:b/>
                <w:bCs/>
                <w:sz w:val="24"/>
                <w:szCs w:val="24"/>
                <w:rtl/>
              </w:rPr>
              <w:t>התקבלה בגינו תעודת מסירה חתומה על ידי מזמין העבודה</w:t>
            </w:r>
            <w:r w:rsidRPr="00800962">
              <w:rPr>
                <w:rFonts w:hint="cs"/>
                <w:sz w:val="24"/>
                <w:szCs w:val="24"/>
                <w:rtl/>
              </w:rPr>
              <w:t xml:space="preserve"> עד למועד האחרון להגשת ההצעות למכרז</w:t>
            </w:r>
            <w:r w:rsidR="00F92C59" w:rsidRPr="00800962">
              <w:rPr>
                <w:rFonts w:hint="cs"/>
                <w:sz w:val="24"/>
                <w:szCs w:val="24"/>
                <w:rtl/>
              </w:rPr>
              <w:t>. יש לצרף גם חשבונות טרום סופיים.</w:t>
            </w:r>
            <w:r w:rsidR="00F92C5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827431" w14:paraId="0C91B442" w14:textId="77777777" w:rsidTr="008E7DEE">
        <w:tc>
          <w:tcPr>
            <w:tcW w:w="734" w:type="dxa"/>
          </w:tcPr>
          <w:p w14:paraId="771F2B66" w14:textId="77777777" w:rsidR="00827431" w:rsidRDefault="00827431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01D0DCB9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44B051A4" w14:textId="77777777" w:rsidR="00827431" w:rsidRDefault="00827431" w:rsidP="0056096E">
            <w:pPr>
              <w:spacing w:after="160" w:line="360" w:lineRule="auto"/>
              <w:rPr>
                <w:rFonts w:ascii="David" w:eastAsia="Calibri" w:hAnsi="David"/>
                <w:sz w:val="24"/>
                <w:szCs w:val="24"/>
                <w:rtl/>
              </w:rPr>
            </w:pPr>
            <w:r>
              <w:rPr>
                <w:rFonts w:ascii="David" w:eastAsia="Calibri" w:hAnsi="David" w:hint="cs"/>
                <w:sz w:val="24"/>
                <w:szCs w:val="24"/>
                <w:rtl/>
              </w:rPr>
              <w:t xml:space="preserve">הנכם מתבקשים לאפשר למציעים להציג גם פרויקטים מתאימים  </w:t>
            </w:r>
            <w:r w:rsidRPr="00891FC2">
              <w:rPr>
                <w:rFonts w:ascii="David" w:eastAsia="Calibri" w:hAnsi="David" w:hint="cs"/>
                <w:b/>
                <w:bCs/>
                <w:sz w:val="24"/>
                <w:szCs w:val="24"/>
                <w:rtl/>
              </w:rPr>
              <w:t>שהם ביצעו כקבלן משנה</w:t>
            </w:r>
            <w:r>
              <w:rPr>
                <w:rFonts w:ascii="David" w:eastAsia="Calibri" w:hAnsi="David" w:hint="cs"/>
                <w:sz w:val="24"/>
                <w:szCs w:val="24"/>
                <w:rtl/>
              </w:rPr>
              <w:t xml:space="preserve"> </w:t>
            </w:r>
            <w:r w:rsidRPr="00BD5AA8">
              <w:rPr>
                <w:rFonts w:ascii="David" w:eastAsia="Calibri" w:hAnsi="David" w:hint="cs"/>
                <w:b/>
                <w:bCs/>
                <w:sz w:val="24"/>
                <w:szCs w:val="24"/>
                <w:rtl/>
              </w:rPr>
              <w:t>עצמאי</w:t>
            </w:r>
            <w:r>
              <w:rPr>
                <w:rFonts w:ascii="David" w:eastAsia="Calibri" w:hAnsi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Calibri" w:hAnsi="David" w:hint="cs"/>
                <w:b/>
                <w:bCs/>
                <w:sz w:val="24"/>
                <w:szCs w:val="24"/>
                <w:rtl/>
              </w:rPr>
              <w:t>לרבות ניהול הנדסי מלא ואספקת כח אדם , כלים וחומרים,  וללא כל מעורבות מהקבלן הראשי</w:t>
            </w:r>
            <w:r w:rsidRPr="00891FC2">
              <w:rPr>
                <w:rFonts w:ascii="David" w:eastAsia="Calibri" w:hAnsi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Calibri" w:hAnsi="David" w:hint="cs"/>
                <w:sz w:val="24"/>
                <w:szCs w:val="24"/>
                <w:rtl/>
              </w:rPr>
              <w:t>לצורך הוכחת הניסיון הנדרש בסעיף 4א' (6) .</w:t>
            </w:r>
          </w:p>
          <w:p w14:paraId="3B38CF68" w14:textId="77777777" w:rsidR="00827431" w:rsidRDefault="00827431" w:rsidP="00D8195B">
            <w:pPr>
              <w:spacing w:before="100" w:after="100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0D79968F" w14:textId="77777777" w:rsidR="00827431" w:rsidRDefault="00827431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A021BC" w14:paraId="2445C740" w14:textId="77777777" w:rsidTr="008E7DEE">
        <w:trPr>
          <w:trHeight w:val="867"/>
        </w:trPr>
        <w:tc>
          <w:tcPr>
            <w:tcW w:w="734" w:type="dxa"/>
            <w:vMerge w:val="restart"/>
          </w:tcPr>
          <w:p w14:paraId="4CBD0651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 w:val="restart"/>
          </w:tcPr>
          <w:p w14:paraId="0AA83010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71489918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09263245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196340FC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0FC0B4B4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6EE116DC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4C36DBF9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6FA1C894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2C98CFE6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7D6C8763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  <w:p w14:paraId="4792E331" w14:textId="77777777" w:rsidR="00A021BC" w:rsidRPr="00A021BC" w:rsidRDefault="00A021BC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 w:rsidRPr="00A021BC">
              <w:rPr>
                <w:rFonts w:hint="cs"/>
                <w:b/>
                <w:bCs/>
                <w:sz w:val="24"/>
                <w:szCs w:val="24"/>
                <w:rtl/>
              </w:rPr>
              <w:t>נספח י'</w:t>
            </w:r>
          </w:p>
          <w:p w14:paraId="69229CF3" w14:textId="77777777" w:rsidR="00A021BC" w:rsidRDefault="00A021BC" w:rsidP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6FEC016C" w14:textId="77777777" w:rsidR="00A021BC" w:rsidRPr="001301DD" w:rsidRDefault="00A021BC" w:rsidP="005A37E8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>סעיף 2. לאחר המילה "מנופים" תוסף המילה "ניידים".</w:t>
            </w:r>
          </w:p>
        </w:tc>
        <w:tc>
          <w:tcPr>
            <w:tcW w:w="3402" w:type="dxa"/>
          </w:tcPr>
          <w:p w14:paraId="4BFF82B2" w14:textId="77777777" w:rsidR="00A021BC" w:rsidRPr="00827431" w:rsidRDefault="00A021BC" w:rsidP="009916DF">
            <w:pPr>
              <w:pStyle w:val="a8"/>
              <w:tabs>
                <w:tab w:val="left" w:pos="7966"/>
              </w:tabs>
              <w:ind w:left="207"/>
              <w:jc w:val="both"/>
              <w:rPr>
                <w:sz w:val="24"/>
                <w:szCs w:val="24"/>
                <w:rtl/>
              </w:rPr>
            </w:pPr>
            <w:r w:rsidRPr="005A37E8">
              <w:rPr>
                <w:rFonts w:hint="eastAsia"/>
                <w:sz w:val="24"/>
                <w:szCs w:val="24"/>
                <w:rtl/>
              </w:rPr>
              <w:t>הבקשה</w:t>
            </w:r>
            <w:r w:rsidRPr="005A37E8">
              <w:rPr>
                <w:sz w:val="24"/>
                <w:szCs w:val="24"/>
                <w:rtl/>
              </w:rPr>
              <w:t xml:space="preserve"> </w:t>
            </w:r>
            <w:r w:rsidRPr="005A37E8">
              <w:rPr>
                <w:rFonts w:hint="eastAsia"/>
                <w:sz w:val="24"/>
                <w:szCs w:val="24"/>
                <w:rtl/>
              </w:rPr>
              <w:t>מתקבלת</w:t>
            </w:r>
            <w:r w:rsidRPr="005A37E8">
              <w:rPr>
                <w:sz w:val="24"/>
                <w:szCs w:val="24"/>
                <w:rtl/>
              </w:rPr>
              <w:t>.</w:t>
            </w:r>
          </w:p>
        </w:tc>
      </w:tr>
      <w:tr w:rsidR="00A021BC" w14:paraId="37EF6E03" w14:textId="77777777" w:rsidTr="008E7DEE">
        <w:trPr>
          <w:trHeight w:val="1486"/>
        </w:trPr>
        <w:tc>
          <w:tcPr>
            <w:tcW w:w="734" w:type="dxa"/>
            <w:vMerge/>
          </w:tcPr>
          <w:p w14:paraId="23F99AE6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39B82952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6915F85E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>סעיף 4.5 נבקש למחוק את המילים "אשר הקבלן פועל בו, לרכוש סמוך, ולכל רכוש אחר של העירייה ו/או החברה".</w:t>
            </w:r>
          </w:p>
        </w:tc>
        <w:tc>
          <w:tcPr>
            <w:tcW w:w="3402" w:type="dxa"/>
          </w:tcPr>
          <w:p w14:paraId="0AE6163A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הבקשה נדחית</w:t>
            </w:r>
          </w:p>
        </w:tc>
      </w:tr>
      <w:tr w:rsidR="00A021BC" w14:paraId="1B2BD115" w14:textId="77777777" w:rsidTr="008E7DEE">
        <w:trPr>
          <w:trHeight w:val="2045"/>
        </w:trPr>
        <w:tc>
          <w:tcPr>
            <w:tcW w:w="734" w:type="dxa"/>
            <w:vMerge/>
          </w:tcPr>
          <w:p w14:paraId="775C32BE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27139212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34D77782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>סעיף 4.15  נבקש למחוק. שוק הביטוח הקבלני הנוכחי הוא קשוח ביותר, כולל גידול ניכר בגובה ההשתתפויות העצמיות ולא ניתן להתחייב מראש על גובה השתתפויות עצמיות.</w:t>
            </w:r>
          </w:p>
        </w:tc>
        <w:tc>
          <w:tcPr>
            <w:tcW w:w="3402" w:type="dxa"/>
          </w:tcPr>
          <w:p w14:paraId="49108E31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מתקבלת </w:t>
            </w:r>
          </w:p>
        </w:tc>
      </w:tr>
      <w:tr w:rsidR="00A021BC" w14:paraId="11966FE2" w14:textId="77777777" w:rsidTr="008E7DEE">
        <w:trPr>
          <w:trHeight w:val="1484"/>
        </w:trPr>
        <w:tc>
          <w:tcPr>
            <w:tcW w:w="734" w:type="dxa"/>
            <w:vMerge/>
          </w:tcPr>
          <w:p w14:paraId="7B00DFF4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6B9C7EDC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6DBBBB6D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 xml:space="preserve">סעיף 4.17 </w:t>
            </w:r>
            <w:r w:rsidRPr="001301DD">
              <w:rPr>
                <w:sz w:val="24"/>
                <w:szCs w:val="24"/>
                <w:rtl/>
              </w:rPr>
              <w:t>–</w:t>
            </w:r>
            <w:r w:rsidRPr="001301DD">
              <w:rPr>
                <w:rFonts w:hint="cs"/>
                <w:sz w:val="24"/>
                <w:szCs w:val="24"/>
                <w:rtl/>
              </w:rPr>
              <w:t xml:space="preserve"> במקום 20,000,000 ₪ ירשם "10,000,000 ₪ גבול אחריות משותף עם ביטוח אחריות המוצר".</w:t>
            </w:r>
          </w:p>
        </w:tc>
        <w:tc>
          <w:tcPr>
            <w:tcW w:w="3402" w:type="dxa"/>
          </w:tcPr>
          <w:p w14:paraId="56122807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A021BC" w14:paraId="2F4957DD" w14:textId="77777777" w:rsidTr="008E7DEE">
        <w:trPr>
          <w:trHeight w:val="1072"/>
        </w:trPr>
        <w:tc>
          <w:tcPr>
            <w:tcW w:w="734" w:type="dxa"/>
            <w:vMerge/>
          </w:tcPr>
          <w:p w14:paraId="534EF4B0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170DD7A3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09163793" w14:textId="77777777" w:rsidR="00A021BC" w:rsidRPr="001301DD" w:rsidRDefault="00A021BC" w:rsidP="00827431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 xml:space="preserve">סעיף 4.19 </w:t>
            </w:r>
            <w:r w:rsidRPr="001301DD">
              <w:rPr>
                <w:sz w:val="24"/>
                <w:szCs w:val="24"/>
                <w:rtl/>
              </w:rPr>
              <w:t>–</w:t>
            </w:r>
            <w:r w:rsidRPr="001301DD">
              <w:rPr>
                <w:rFonts w:hint="cs"/>
                <w:sz w:val="24"/>
                <w:szCs w:val="24"/>
                <w:rtl/>
              </w:rPr>
              <w:t xml:space="preserve"> לאחר המילים "אי יושר" יש להוסיף "עד לסך 150,000 ₪ .</w:t>
            </w:r>
          </w:p>
        </w:tc>
        <w:tc>
          <w:tcPr>
            <w:tcW w:w="3402" w:type="dxa"/>
          </w:tcPr>
          <w:p w14:paraId="345EAE16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הבקשה נדחית</w:t>
            </w:r>
          </w:p>
        </w:tc>
      </w:tr>
      <w:tr w:rsidR="00A021BC" w14:paraId="06536B07" w14:textId="77777777" w:rsidTr="008E7DEE">
        <w:trPr>
          <w:trHeight w:val="1063"/>
        </w:trPr>
        <w:tc>
          <w:tcPr>
            <w:tcW w:w="734" w:type="dxa"/>
            <w:vMerge/>
          </w:tcPr>
          <w:p w14:paraId="2BBC72E8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7790FBE7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101CD404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 xml:space="preserve">סעיף 4.22 </w:t>
            </w:r>
            <w:r w:rsidRPr="001301DD">
              <w:rPr>
                <w:sz w:val="24"/>
                <w:szCs w:val="24"/>
                <w:rtl/>
              </w:rPr>
              <w:t>–</w:t>
            </w:r>
            <w:r w:rsidRPr="001301DD">
              <w:rPr>
                <w:rFonts w:hint="cs"/>
                <w:sz w:val="24"/>
                <w:szCs w:val="24"/>
                <w:rtl/>
              </w:rPr>
              <w:t xml:space="preserve"> בסופו יוסף "ולא יותר מ 3 שנים מתום תקופת ההתקשרות".</w:t>
            </w:r>
          </w:p>
        </w:tc>
        <w:tc>
          <w:tcPr>
            <w:tcW w:w="3402" w:type="dxa"/>
          </w:tcPr>
          <w:p w14:paraId="3CFE641C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A021BC" w14:paraId="0AD07708" w14:textId="77777777" w:rsidTr="008E7DEE">
        <w:trPr>
          <w:trHeight w:val="800"/>
        </w:trPr>
        <w:tc>
          <w:tcPr>
            <w:tcW w:w="734" w:type="dxa"/>
            <w:vMerge/>
          </w:tcPr>
          <w:p w14:paraId="493DB1C0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5ED8F428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441B8177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 xml:space="preserve">סעיף 4.25 - </w:t>
            </w:r>
            <w:r w:rsidRPr="001301DD">
              <w:rPr>
                <w:sz w:val="24"/>
                <w:szCs w:val="24"/>
                <w:rtl/>
              </w:rPr>
              <w:t>במקום 20,000,000 ₪ ירשם "10,000,000 ₪ גבול אחריות משותף עם ביטוח אחריות המוצר".</w:t>
            </w:r>
          </w:p>
        </w:tc>
        <w:tc>
          <w:tcPr>
            <w:tcW w:w="3402" w:type="dxa"/>
          </w:tcPr>
          <w:p w14:paraId="6E429163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A021BC" w14:paraId="48DD787D" w14:textId="77777777" w:rsidTr="008E7DEE">
        <w:trPr>
          <w:trHeight w:val="800"/>
        </w:trPr>
        <w:tc>
          <w:tcPr>
            <w:tcW w:w="734" w:type="dxa"/>
            <w:vMerge/>
          </w:tcPr>
          <w:p w14:paraId="7A732F51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2FEB2638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6B260C7B" w14:textId="77777777" w:rsidR="00A021BC" w:rsidRPr="001301DD" w:rsidRDefault="00A021BC" w:rsidP="000245BD">
            <w:pPr>
              <w:spacing w:after="160" w:line="259" w:lineRule="auto"/>
              <w:rPr>
                <w:rFonts w:ascii="David" w:hAnsi="David"/>
                <w:sz w:val="24"/>
                <w:szCs w:val="24"/>
                <w:rtl/>
              </w:rPr>
            </w:pPr>
            <w:r w:rsidRPr="001301DD">
              <w:rPr>
                <w:rFonts w:ascii="David" w:hAnsi="David"/>
                <w:sz w:val="24"/>
                <w:szCs w:val="24"/>
                <w:rtl/>
              </w:rPr>
              <w:t>במקום 20,000,000 ₪ ירשם "10,000,000 ₪ גבול אחריות משותף עם ביטוח אחריות מקצועית".</w:t>
            </w:r>
          </w:p>
        </w:tc>
        <w:tc>
          <w:tcPr>
            <w:tcW w:w="3402" w:type="dxa"/>
          </w:tcPr>
          <w:p w14:paraId="2DB9B83B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A021BC" w14:paraId="33807DB0" w14:textId="77777777" w:rsidTr="008E7DEE">
        <w:trPr>
          <w:trHeight w:val="990"/>
        </w:trPr>
        <w:tc>
          <w:tcPr>
            <w:tcW w:w="734" w:type="dxa"/>
            <w:vMerge/>
          </w:tcPr>
          <w:p w14:paraId="73643111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65BB5B53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5FAB6C9F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 xml:space="preserve">סעיף 4.30 </w:t>
            </w:r>
            <w:r w:rsidRPr="001301DD">
              <w:rPr>
                <w:sz w:val="24"/>
                <w:szCs w:val="24"/>
                <w:rtl/>
              </w:rPr>
              <w:t>–</w:t>
            </w:r>
            <w:r w:rsidRPr="001301DD">
              <w:rPr>
                <w:rFonts w:hint="cs"/>
                <w:sz w:val="24"/>
                <w:szCs w:val="24"/>
                <w:rtl/>
              </w:rPr>
              <w:t xml:space="preserve"> בסופו יוסף "ולא יותר מ 3 שנים מתום תקופת ההתקשרות".</w:t>
            </w:r>
          </w:p>
          <w:p w14:paraId="4E72F810" w14:textId="77777777" w:rsidR="00A021BC" w:rsidRPr="001301DD" w:rsidRDefault="00A021BC" w:rsidP="000245BD">
            <w:pPr>
              <w:pStyle w:val="a8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2BA351A9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A021BC" w14:paraId="46C0FCA0" w14:textId="77777777" w:rsidTr="008E7DEE">
        <w:trPr>
          <w:trHeight w:val="690"/>
        </w:trPr>
        <w:tc>
          <w:tcPr>
            <w:tcW w:w="734" w:type="dxa"/>
            <w:vMerge/>
          </w:tcPr>
          <w:p w14:paraId="636292BD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57A459A4" w14:textId="77777777" w:rsidR="00A021BC" w:rsidRDefault="00A021BC" w:rsidP="0021045F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570FC184" w14:textId="77777777" w:rsidR="00A021BC" w:rsidRPr="001301DD" w:rsidRDefault="00A021BC" w:rsidP="000245BD">
            <w:pPr>
              <w:rPr>
                <w:sz w:val="24"/>
                <w:szCs w:val="24"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 xml:space="preserve">פרק צג שלישי </w:t>
            </w:r>
          </w:p>
          <w:p w14:paraId="127FD619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>סעיף 322- נבקש להוסיף גם קוד 329</w:t>
            </w:r>
          </w:p>
          <w:p w14:paraId="4D453B32" w14:textId="77777777" w:rsidR="00A021BC" w:rsidRPr="001301DD" w:rsidRDefault="00A021BC" w:rsidP="000245BD">
            <w:pPr>
              <w:pStyle w:val="a8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73FCDD41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A021BC" w14:paraId="45AF1D1A" w14:textId="77777777" w:rsidTr="008E7DEE">
        <w:trPr>
          <w:trHeight w:val="690"/>
        </w:trPr>
        <w:tc>
          <w:tcPr>
            <w:tcW w:w="734" w:type="dxa"/>
            <w:vMerge/>
          </w:tcPr>
          <w:p w14:paraId="74A86342" w14:textId="77777777" w:rsidR="00A021BC" w:rsidRDefault="00A021BC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  <w:vMerge/>
          </w:tcPr>
          <w:p w14:paraId="7AF4D2B5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1D447426" w14:textId="77777777" w:rsidR="00A021BC" w:rsidRPr="001301DD" w:rsidRDefault="00A021BC" w:rsidP="000245BD">
            <w:pPr>
              <w:rPr>
                <w:sz w:val="24"/>
                <w:szCs w:val="24"/>
                <w:rtl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 xml:space="preserve">פרק אחריות מקצועית: </w:t>
            </w:r>
          </w:p>
          <w:p w14:paraId="66289C29" w14:textId="77777777" w:rsidR="00A021BC" w:rsidRPr="001301DD" w:rsidRDefault="00A021BC" w:rsidP="000245BD">
            <w:pPr>
              <w:spacing w:after="160" w:line="259" w:lineRule="auto"/>
              <w:rPr>
                <w:sz w:val="24"/>
                <w:szCs w:val="24"/>
              </w:rPr>
            </w:pPr>
            <w:r w:rsidRPr="001301DD">
              <w:rPr>
                <w:rFonts w:hint="cs"/>
                <w:sz w:val="24"/>
                <w:szCs w:val="24"/>
                <w:rtl/>
              </w:rPr>
              <w:t>קוד 309 -נבקש לבטל קוד 309</w:t>
            </w:r>
          </w:p>
          <w:p w14:paraId="3EFBC03D" w14:textId="77777777" w:rsidR="00A021BC" w:rsidRPr="001301DD" w:rsidRDefault="00A021BC" w:rsidP="000245BD">
            <w:pPr>
              <w:pStyle w:val="a8"/>
              <w:spacing w:after="160" w:line="259" w:lineRule="auto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5B0ABADA" w14:textId="77777777" w:rsidR="00A021BC" w:rsidRDefault="00A021BC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E426E0" w14:paraId="4EDE8EEA" w14:textId="77777777" w:rsidTr="008E7DEE">
        <w:trPr>
          <w:trHeight w:val="690"/>
        </w:trPr>
        <w:tc>
          <w:tcPr>
            <w:tcW w:w="734" w:type="dxa"/>
          </w:tcPr>
          <w:p w14:paraId="69FC5B77" w14:textId="77777777" w:rsidR="00E426E0" w:rsidRDefault="00E426E0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114DC916" w14:textId="77777777" w:rsidR="00E426E0" w:rsidRPr="00E426E0" w:rsidRDefault="00E426E0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70281733" w14:textId="77777777" w:rsidR="00E426E0" w:rsidRPr="00570E8E" w:rsidRDefault="00E426E0" w:rsidP="00E426E0">
            <w:pPr>
              <w:spacing w:after="160" w:line="259" w:lineRule="auto"/>
              <w:rPr>
                <w:sz w:val="24"/>
                <w:szCs w:val="24"/>
                <w:rtl/>
              </w:rPr>
            </w:pPr>
            <w:r w:rsidRPr="00570E8E">
              <w:rPr>
                <w:rFonts w:hint="cs"/>
                <w:sz w:val="24"/>
                <w:szCs w:val="24"/>
                <w:rtl/>
              </w:rPr>
              <w:t>נשמח לקבל ולאפשר דחייה בשבועיים במועד ההגשה של המכרז.</w:t>
            </w:r>
          </w:p>
          <w:p w14:paraId="4D0EE0EF" w14:textId="77777777" w:rsidR="00E426E0" w:rsidRPr="001301DD" w:rsidRDefault="00E426E0" w:rsidP="00E426E0">
            <w:pPr>
              <w:spacing w:after="160" w:line="259" w:lineRule="auto"/>
              <w:jc w:val="both"/>
              <w:rPr>
                <w:sz w:val="24"/>
                <w:szCs w:val="24"/>
                <w:rtl/>
              </w:rPr>
            </w:pPr>
            <w:r w:rsidRPr="00570E8E">
              <w:rPr>
                <w:rFonts w:hint="cs"/>
                <w:sz w:val="24"/>
                <w:szCs w:val="24"/>
                <w:rtl/>
              </w:rPr>
              <w:t>כל זאת על מנת שנוכל להגיש את הצעתנו באופן מיטבי.</w:t>
            </w:r>
          </w:p>
          <w:p w14:paraId="4ED80FC2" w14:textId="77777777" w:rsidR="00E426E0" w:rsidRPr="001301DD" w:rsidRDefault="00E426E0" w:rsidP="00E426E0">
            <w:pPr>
              <w:spacing w:after="160" w:line="259" w:lineRule="auto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51E164A2" w14:textId="77777777" w:rsidR="00E426E0" w:rsidRDefault="00570E8E" w:rsidP="0040746C">
            <w:pPr>
              <w:spacing w:after="160" w:line="259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מועד ההגשה נדחה ליום</w:t>
            </w:r>
            <w:r w:rsidR="0040746C">
              <w:rPr>
                <w:rFonts w:hint="cs"/>
                <w:sz w:val="24"/>
                <w:szCs w:val="24"/>
                <w:rtl/>
              </w:rPr>
              <w:t xml:space="preserve"> ד'</w:t>
            </w:r>
            <w:r>
              <w:rPr>
                <w:rFonts w:hint="cs"/>
                <w:sz w:val="24"/>
                <w:szCs w:val="24"/>
                <w:rtl/>
              </w:rPr>
              <w:t xml:space="preserve"> 27.9.2023 עד השעה 12:00 </w:t>
            </w:r>
          </w:p>
        </w:tc>
      </w:tr>
      <w:tr w:rsidR="00D93A36" w14:paraId="10AFF398" w14:textId="77777777" w:rsidTr="008E7DEE">
        <w:trPr>
          <w:trHeight w:val="690"/>
        </w:trPr>
        <w:tc>
          <w:tcPr>
            <w:tcW w:w="734" w:type="dxa"/>
          </w:tcPr>
          <w:p w14:paraId="4B1D8EB5" w14:textId="77777777" w:rsidR="00D93A36" w:rsidRDefault="00D93A3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47F89E94" w14:textId="77777777" w:rsidR="00D93A36" w:rsidRPr="00E426E0" w:rsidRDefault="00D93A36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  <w:r w:rsidRPr="009A0254">
              <w:rPr>
                <w:rFonts w:ascii="David" w:eastAsia="Arial Unicode MS" w:hAnsi="David" w:hint="cs"/>
                <w:sz w:val="24"/>
                <w:szCs w:val="24"/>
                <w:rtl/>
              </w:rPr>
              <w:t>סעיף 4א(6)</w:t>
            </w:r>
          </w:p>
        </w:tc>
        <w:tc>
          <w:tcPr>
            <w:tcW w:w="4228" w:type="dxa"/>
          </w:tcPr>
          <w:p w14:paraId="27E87207" w14:textId="77777777" w:rsidR="00D93A36" w:rsidRPr="001301DD" w:rsidRDefault="00D93A36" w:rsidP="00D93A36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David" w:eastAsia="Arial Unicode MS" w:hAnsi="David"/>
                <w:sz w:val="24"/>
                <w:szCs w:val="24"/>
                <w:rtl/>
              </w:rPr>
            </w:pPr>
            <w:r w:rsidRPr="001301DD">
              <w:rPr>
                <w:rFonts w:ascii="David" w:eastAsia="Arial Unicode MS" w:hAnsi="David" w:hint="cs"/>
                <w:sz w:val="24"/>
                <w:szCs w:val="24"/>
                <w:rtl/>
              </w:rPr>
              <w:t xml:space="preserve">נבקש לשנות את הדרישה כך שהמציע יוכל להציג </w:t>
            </w:r>
            <w:r w:rsidRPr="001301DD">
              <w:rPr>
                <w:rFonts w:ascii="David" w:eastAsia="Arial Unicode MS" w:hAnsi="David" w:hint="cs"/>
                <w:b/>
                <w:bCs/>
                <w:sz w:val="24"/>
                <w:szCs w:val="24"/>
                <w:u w:val="single"/>
                <w:rtl/>
              </w:rPr>
              <w:t>פרויקט אחד</w:t>
            </w:r>
            <w:r w:rsidRPr="001301DD">
              <w:rPr>
                <w:rFonts w:ascii="David" w:eastAsia="Arial Unicode MS" w:hAnsi="David" w:hint="cs"/>
                <w:sz w:val="24"/>
                <w:szCs w:val="24"/>
                <w:rtl/>
              </w:rPr>
              <w:t xml:space="preserve"> (מתוך שתיים), אשר בוצע </w:t>
            </w:r>
            <w:r w:rsidRPr="001301DD">
              <w:rPr>
                <w:rFonts w:ascii="David" w:eastAsia="Arial Unicode MS" w:hAnsi="David" w:hint="cs"/>
                <w:b/>
                <w:bCs/>
                <w:sz w:val="24"/>
                <w:szCs w:val="24"/>
                <w:u w:val="single"/>
                <w:rtl/>
              </w:rPr>
              <w:t>בשטח שאינו בנוי</w:t>
            </w:r>
            <w:r w:rsidRPr="001301DD">
              <w:rPr>
                <w:rFonts w:ascii="David" w:eastAsia="Arial Unicode MS" w:hAnsi="David" w:hint="cs"/>
                <w:sz w:val="24"/>
                <w:szCs w:val="24"/>
                <w:rtl/>
              </w:rPr>
              <w:t xml:space="preserve"> (מגורים/תעסוקה),יתר תנאי הסעיף יוותרו על כנם (שנות ביצוע, פרויקט אחד באזור בנוי, הפרויקטים מעל 60 מיליון ₪ וכוללים את העבודות הנדרשות). חברתנו היא </w:t>
            </w:r>
            <w:r w:rsidRPr="001301DD">
              <w:rPr>
                <w:rFonts w:ascii="David" w:eastAsia="Arial Unicode MS" w:hAnsi="David"/>
                <w:sz w:val="24"/>
                <w:szCs w:val="24"/>
                <w:rtl/>
              </w:rPr>
              <w:t xml:space="preserve">חברה מובילה ומומחית בעבודות עפר, תשתיות, בניה, סלילה, פיתוח וגישור בעלת סיווג קבלני 100 ג' 5 ו-200 ג'5 בלתי מוגבל </w:t>
            </w:r>
            <w:r w:rsidRPr="001301DD">
              <w:rPr>
                <w:rFonts w:ascii="David" w:eastAsia="Arial Unicode MS" w:hAnsi="David" w:hint="cs"/>
                <w:sz w:val="24"/>
                <w:szCs w:val="24"/>
                <w:rtl/>
              </w:rPr>
              <w:t xml:space="preserve">. שינוי הדרישה כאמור ירחיב את </w:t>
            </w:r>
            <w:r w:rsidRPr="001301DD">
              <w:rPr>
                <w:rFonts w:ascii="David" w:eastAsia="Arial Unicode MS" w:hAnsi="David" w:hint="cs"/>
                <w:sz w:val="24"/>
                <w:szCs w:val="24"/>
                <w:rtl/>
                <w:lang w:eastAsia="en-US"/>
              </w:rPr>
              <w:t xml:space="preserve">מעגל המשתתפים . הרחבת מעגל המציעים מגדיל את התחרות לצורך השגת התוצאה הכלכלית הטובה ביותר עבור הרשות והציבור היוצאים נשכרים.  </w:t>
            </w:r>
          </w:p>
          <w:p w14:paraId="1B6B3D5A" w14:textId="77777777" w:rsidR="00D93A36" w:rsidRPr="001301DD" w:rsidRDefault="00D93A36" w:rsidP="00E426E0">
            <w:pPr>
              <w:spacing w:after="160" w:line="259" w:lineRule="auto"/>
              <w:rPr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402" w:type="dxa"/>
          </w:tcPr>
          <w:p w14:paraId="7C1D721E" w14:textId="77777777" w:rsidR="00D93A36" w:rsidRDefault="0007525D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הבקשה נדחית </w:t>
            </w:r>
          </w:p>
        </w:tc>
      </w:tr>
      <w:tr w:rsidR="00D93A36" w14:paraId="3FF4A3EE" w14:textId="77777777" w:rsidTr="008E7DEE">
        <w:trPr>
          <w:trHeight w:val="690"/>
        </w:trPr>
        <w:tc>
          <w:tcPr>
            <w:tcW w:w="734" w:type="dxa"/>
          </w:tcPr>
          <w:p w14:paraId="4920CA16" w14:textId="77777777" w:rsidR="00D93A36" w:rsidRDefault="00D93A36">
            <w:pPr>
              <w:pStyle w:val="a8"/>
              <w:numPr>
                <w:ilvl w:val="0"/>
                <w:numId w:val="1"/>
              </w:num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980" w:type="dxa"/>
          </w:tcPr>
          <w:p w14:paraId="09F58CDB" w14:textId="77777777" w:rsidR="00D93A36" w:rsidRPr="00E426E0" w:rsidRDefault="00D93A36">
            <w:pPr>
              <w:tabs>
                <w:tab w:val="left" w:pos="7966"/>
              </w:tabs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28" w:type="dxa"/>
          </w:tcPr>
          <w:p w14:paraId="2C295F63" w14:textId="77777777" w:rsidR="00AF0287" w:rsidRPr="001301DD" w:rsidRDefault="00AF0287" w:rsidP="0080641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1301DD">
              <w:rPr>
                <w:sz w:val="24"/>
                <w:szCs w:val="24"/>
                <w:rtl/>
              </w:rPr>
              <w:t xml:space="preserve">בשל מורכבותו של המכרז והיקפו ולנוכח חלוף הזמן ממועד סיור הקבלנים האחרון שנערך ביום 4.7.2023 כמו גם העובדה שבמועד הנ"ל נציגי חברתנו שהו בחופשת קיץ,  מבוקש בזאת לקיים סיור קבלנים </w:t>
            </w:r>
            <w:r w:rsidRPr="001301DD">
              <w:rPr>
                <w:b/>
                <w:bCs/>
                <w:sz w:val="24"/>
                <w:szCs w:val="24"/>
                <w:rtl/>
              </w:rPr>
              <w:t>נוסף</w:t>
            </w:r>
            <w:r w:rsidRPr="001301DD">
              <w:rPr>
                <w:sz w:val="24"/>
                <w:szCs w:val="24"/>
                <w:rtl/>
              </w:rPr>
              <w:t xml:space="preserve"> בשים לב לכך כי המועד האחרון להגשת ההצעות נדחה ליום</w:t>
            </w:r>
            <w:r w:rsidRPr="001301DD">
              <w:rPr>
                <w:b/>
                <w:bCs/>
                <w:sz w:val="24"/>
                <w:szCs w:val="24"/>
                <w:rtl/>
              </w:rPr>
              <w:t xml:space="preserve"> 03.9.23</w:t>
            </w:r>
            <w:r w:rsidRPr="001301DD">
              <w:rPr>
                <w:sz w:val="24"/>
                <w:szCs w:val="24"/>
                <w:rtl/>
              </w:rPr>
              <w:t xml:space="preserve">. </w:t>
            </w:r>
          </w:p>
          <w:p w14:paraId="4A3D2AC9" w14:textId="77777777" w:rsidR="00AF0287" w:rsidRPr="001301DD" w:rsidRDefault="00AF0287" w:rsidP="00806412">
            <w:pPr>
              <w:spacing w:line="360" w:lineRule="exact"/>
              <w:jc w:val="both"/>
              <w:rPr>
                <w:rFonts w:ascii="David" w:hAnsi="David"/>
                <w:sz w:val="24"/>
                <w:szCs w:val="24"/>
              </w:rPr>
            </w:pPr>
            <w:r w:rsidRPr="001301DD">
              <w:rPr>
                <w:sz w:val="24"/>
                <w:szCs w:val="24"/>
                <w:rtl/>
              </w:rPr>
              <w:t>לחילופין</w:t>
            </w:r>
            <w:r w:rsidR="00806412" w:rsidRPr="001301DD">
              <w:rPr>
                <w:rFonts w:hint="cs"/>
                <w:sz w:val="24"/>
                <w:szCs w:val="24"/>
                <w:rtl/>
              </w:rPr>
              <w:t xml:space="preserve">, </w:t>
            </w:r>
            <w:r w:rsidRPr="001301DD">
              <w:rPr>
                <w:sz w:val="24"/>
                <w:szCs w:val="24"/>
                <w:rtl/>
              </w:rPr>
              <w:t xml:space="preserve"> וע"מ למנוע בפני המציע, כמו גם בפני מציעים פוטנציאליים אחרים, לגשת למכרז שבנדון במטרה להפחית את חסמי הכניסה בפני </w:t>
            </w:r>
            <w:r w:rsidRPr="001301DD">
              <w:rPr>
                <w:sz w:val="24"/>
                <w:szCs w:val="24"/>
                <w:rtl/>
              </w:rPr>
              <w:lastRenderedPageBreak/>
              <w:t xml:space="preserve">המציעים, מבוקש בזאת לאפשר גם למציעים אשר </w:t>
            </w:r>
            <w:r w:rsidRPr="001301DD">
              <w:rPr>
                <w:b/>
                <w:bCs/>
                <w:sz w:val="24"/>
                <w:szCs w:val="24"/>
                <w:rtl/>
              </w:rPr>
              <w:t>לא</w:t>
            </w:r>
            <w:r w:rsidRPr="001301DD">
              <w:rPr>
                <w:sz w:val="24"/>
                <w:szCs w:val="24"/>
                <w:rtl/>
              </w:rPr>
              <w:t xml:space="preserve"> נכחו בסיור הקבלנים שנקבע, אפשרות להגיש הצעתם ולהשתתף במכרז. היענותכם לבקשתנו זו תביא להרחבת מעגל המציעים הפוטנציאליים, כפועל יוצא מכך יגדל</w:t>
            </w:r>
            <w:r w:rsidRPr="001301DD">
              <w:rPr>
                <w:rFonts w:ascii="David" w:hAnsi="David"/>
                <w:sz w:val="24"/>
                <w:szCs w:val="24"/>
                <w:rtl/>
              </w:rPr>
              <w:t xml:space="preserve"> הסיכוי לקבלת ההצעה הטובה ביותר, שיקול ראוי אשר די בו כדי להטות את כף המאזניים לטובת היענותכם לבקשתנו זו.</w:t>
            </w:r>
          </w:p>
          <w:p w14:paraId="279F4859" w14:textId="77777777" w:rsidR="00D93A36" w:rsidRPr="001301DD" w:rsidRDefault="00D93A36" w:rsidP="00E426E0">
            <w:pPr>
              <w:spacing w:after="160" w:line="259" w:lineRule="auto"/>
              <w:rPr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3402" w:type="dxa"/>
          </w:tcPr>
          <w:p w14:paraId="24A74451" w14:textId="77777777" w:rsidR="00D93A36" w:rsidRDefault="00806412">
            <w:pPr>
              <w:tabs>
                <w:tab w:val="left" w:pos="7966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הבקשה נדחית </w:t>
            </w:r>
            <w:r w:rsidR="00AF0287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2741A666" w14:textId="77777777" w:rsidR="00940CC9" w:rsidRDefault="00940CC9">
      <w:pPr>
        <w:tabs>
          <w:tab w:val="left" w:pos="7966"/>
        </w:tabs>
        <w:jc w:val="both"/>
        <w:rPr>
          <w:b/>
          <w:bCs/>
          <w:sz w:val="24"/>
          <w:szCs w:val="24"/>
          <w:rtl/>
        </w:rPr>
      </w:pPr>
    </w:p>
    <w:p w14:paraId="1C994EBB" w14:textId="77777777" w:rsidR="00940CC9" w:rsidRDefault="00940CC9">
      <w:pPr>
        <w:tabs>
          <w:tab w:val="left" w:pos="7966"/>
        </w:tabs>
        <w:jc w:val="both"/>
        <w:rPr>
          <w:b/>
          <w:bCs/>
          <w:sz w:val="24"/>
          <w:szCs w:val="24"/>
          <w:rtl/>
        </w:rPr>
      </w:pPr>
    </w:p>
    <w:p w14:paraId="406E0DD6" w14:textId="77777777" w:rsidR="00940CC9" w:rsidRDefault="00940CC9">
      <w:pPr>
        <w:tabs>
          <w:tab w:val="left" w:pos="7966"/>
        </w:tabs>
        <w:jc w:val="both"/>
        <w:rPr>
          <w:b/>
          <w:bCs/>
          <w:sz w:val="24"/>
          <w:szCs w:val="24"/>
          <w:rtl/>
        </w:rPr>
      </w:pPr>
    </w:p>
    <w:p w14:paraId="5915A388" w14:textId="77777777" w:rsidR="00940CC9" w:rsidRDefault="00940CC9">
      <w:pPr>
        <w:tabs>
          <w:tab w:val="left" w:pos="7966"/>
        </w:tabs>
        <w:jc w:val="both"/>
        <w:rPr>
          <w:b/>
          <w:bCs/>
          <w:sz w:val="24"/>
          <w:szCs w:val="24"/>
          <w:rtl/>
        </w:rPr>
      </w:pPr>
    </w:p>
    <w:p w14:paraId="2E2F7B9D" w14:textId="77777777" w:rsidR="00940CC9" w:rsidRDefault="00060F77">
      <w:pPr>
        <w:tabs>
          <w:tab w:val="left" w:pos="7966"/>
        </w:tabs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_____________</w:t>
      </w:r>
    </w:p>
    <w:p w14:paraId="6EA5FC64" w14:textId="77777777" w:rsidR="00940CC9" w:rsidRDefault="00060F77">
      <w:pPr>
        <w:tabs>
          <w:tab w:val="left" w:pos="7966"/>
        </w:tabs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עיריית נתיבות </w:t>
      </w:r>
    </w:p>
    <w:p w14:paraId="70D077AB" w14:textId="77777777" w:rsidR="00940CC9" w:rsidRDefault="00940CC9">
      <w:pPr>
        <w:tabs>
          <w:tab w:val="left" w:pos="7966"/>
        </w:tabs>
        <w:ind w:left="28"/>
        <w:jc w:val="both"/>
        <w:rPr>
          <w:b/>
          <w:bCs/>
          <w:sz w:val="24"/>
          <w:szCs w:val="24"/>
          <w:rtl/>
        </w:rPr>
      </w:pPr>
    </w:p>
    <w:p w14:paraId="088BD854" w14:textId="77777777" w:rsidR="00940CC9" w:rsidRDefault="00060F77">
      <w:pPr>
        <w:tabs>
          <w:tab w:val="left" w:pos="7966"/>
        </w:tabs>
        <w:ind w:left="28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77F6D612" w14:textId="77777777" w:rsidR="00940CC9" w:rsidRDefault="00060F77">
      <w:pPr>
        <w:tabs>
          <w:tab w:val="left" w:pos="7966"/>
        </w:tabs>
        <w:ind w:left="28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חתימת המשתתף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______________:</w:t>
      </w:r>
    </w:p>
    <w:p w14:paraId="537F5C49" w14:textId="77777777" w:rsidR="00F01409" w:rsidRDefault="00F01409">
      <w:pPr>
        <w:tabs>
          <w:tab w:val="left" w:pos="7966"/>
        </w:tabs>
        <w:ind w:left="28"/>
        <w:jc w:val="both"/>
        <w:rPr>
          <w:b/>
          <w:bCs/>
          <w:sz w:val="24"/>
          <w:szCs w:val="24"/>
          <w:rtl/>
        </w:rPr>
      </w:pPr>
    </w:p>
    <w:p w14:paraId="34842BBD" w14:textId="1D49183A" w:rsidR="00F01409" w:rsidRDefault="00F01409" w:rsidP="00306B49">
      <w:pPr>
        <w:spacing w:line="276" w:lineRule="auto"/>
        <w:rPr>
          <w:b/>
          <w:bCs/>
          <w:sz w:val="24"/>
          <w:szCs w:val="24"/>
          <w:rtl/>
        </w:rPr>
      </w:pPr>
    </w:p>
    <w:sectPr w:rsidR="00F01409">
      <w:headerReference w:type="default" r:id="rId7"/>
      <w:footerReference w:type="default" r:id="rId8"/>
      <w:pgSz w:w="11906" w:h="16838"/>
      <w:pgMar w:top="1247" w:right="1247" w:bottom="1247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0D7F" w14:textId="77777777" w:rsidR="00CF799F" w:rsidRDefault="00CF799F">
      <w:r>
        <w:separator/>
      </w:r>
    </w:p>
  </w:endnote>
  <w:endnote w:type="continuationSeparator" w:id="0">
    <w:p w14:paraId="6E6D6B1E" w14:textId="77777777" w:rsidR="00CF799F" w:rsidRDefault="00CF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12927955"/>
      <w:docPartObj>
        <w:docPartGallery w:val="Page Numbers (Bottom of Page)"/>
        <w:docPartUnique/>
      </w:docPartObj>
    </w:sdtPr>
    <w:sdtEndPr/>
    <w:sdtContent>
      <w:p w14:paraId="371ACA64" w14:textId="77777777" w:rsidR="00940CC9" w:rsidRDefault="00060F77">
        <w:pPr>
          <w:pStyle w:val="a5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32F61" w:rsidRPr="00632F6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19D32164" w14:textId="77777777" w:rsidR="00940CC9" w:rsidRDefault="00060F77">
    <w:pPr>
      <w:pStyle w:val="a5"/>
      <w:rPr>
        <w:sz w:val="16"/>
        <w:szCs w:val="18"/>
      </w:rPr>
    </w:pPr>
    <w:r>
      <w:rPr>
        <w:rFonts w:hint="cs"/>
        <w:sz w:val="16"/>
        <w:szCs w:val="18"/>
        <w:rtl/>
      </w:rPr>
      <w:t>חתימה וחותמת המשתתף:</w:t>
    </w:r>
    <w:r>
      <w:rPr>
        <w:rFonts w:hint="cs"/>
        <w:sz w:val="16"/>
        <w:szCs w:val="18"/>
      </w:rPr>
      <w:t xml:space="preserve"> </w:t>
    </w:r>
    <w:r>
      <w:rPr>
        <w:rFonts w:hint="cs"/>
        <w:sz w:val="16"/>
        <w:szCs w:val="18"/>
        <w:rtl/>
      </w:rPr>
      <w:t>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75443" w14:textId="77777777" w:rsidR="00CF799F" w:rsidRDefault="00CF799F">
      <w:r>
        <w:separator/>
      </w:r>
    </w:p>
  </w:footnote>
  <w:footnote w:type="continuationSeparator" w:id="0">
    <w:p w14:paraId="474D4015" w14:textId="77777777" w:rsidR="00CF799F" w:rsidRDefault="00CF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6D92" w14:textId="77777777" w:rsidR="00940CC9" w:rsidRDefault="00CB5664">
    <w:pPr>
      <w:pStyle w:val="a3"/>
      <w:jc w:val="center"/>
    </w:pPr>
    <w:r>
      <w:rPr>
        <w:rFonts w:cs="Narkisim" w:hint="cs"/>
        <w:b/>
        <w:bCs/>
        <w:noProof/>
        <w:sz w:val="40"/>
        <w:szCs w:val="40"/>
        <w:rtl/>
      </w:rPr>
      <w:drawing>
        <wp:anchor distT="0" distB="0" distL="114300" distR="114300" simplePos="0" relativeHeight="251659264" behindDoc="0" locked="0" layoutInCell="1" allowOverlap="1" wp14:anchorId="4000AECD" wp14:editId="753EB6A0">
          <wp:simplePos x="0" y="0"/>
          <wp:positionH relativeFrom="margin">
            <wp:posOffset>3018155</wp:posOffset>
          </wp:positionH>
          <wp:positionV relativeFrom="margin">
            <wp:posOffset>-694055</wp:posOffset>
          </wp:positionV>
          <wp:extent cx="637540" cy="636270"/>
          <wp:effectExtent l="0" t="0" r="0" b="0"/>
          <wp:wrapSquare wrapText="bothSides"/>
          <wp:docPr id="6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7AB"/>
    <w:multiLevelType w:val="hybridMultilevel"/>
    <w:tmpl w:val="71C86ACE"/>
    <w:lvl w:ilvl="0" w:tplc="A12EF562">
      <w:start w:val="1"/>
      <w:numFmt w:val="hebrew1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8DB"/>
    <w:multiLevelType w:val="hybridMultilevel"/>
    <w:tmpl w:val="AF5AAA8A"/>
    <w:lvl w:ilvl="0" w:tplc="EB8E6A7A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2CC320E">
      <w:start w:val="1"/>
      <w:numFmt w:val="hebrew1"/>
      <w:lvlText w:val="%3."/>
      <w:lvlJc w:val="left"/>
      <w:pPr>
        <w:ind w:left="2340" w:hanging="360"/>
      </w:pPr>
      <w:rPr>
        <w:rFonts w:hint="default"/>
        <w:b w:val="0"/>
        <w:bCs w:val="0"/>
        <w:i w:val="0"/>
        <w:i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DCB"/>
    <w:multiLevelType w:val="hybridMultilevel"/>
    <w:tmpl w:val="F134F276"/>
    <w:lvl w:ilvl="0" w:tplc="0B2E60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15E14"/>
    <w:multiLevelType w:val="hybridMultilevel"/>
    <w:tmpl w:val="50B0C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087F"/>
    <w:multiLevelType w:val="hybridMultilevel"/>
    <w:tmpl w:val="9C3A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D0963"/>
    <w:multiLevelType w:val="hybridMultilevel"/>
    <w:tmpl w:val="29B22022"/>
    <w:lvl w:ilvl="0" w:tplc="C604F9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D975F5"/>
    <w:multiLevelType w:val="multilevel"/>
    <w:tmpl w:val="267CDAC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4314F61"/>
    <w:multiLevelType w:val="multilevel"/>
    <w:tmpl w:val="E2685D22"/>
    <w:lvl w:ilvl="0">
      <w:start w:val="1"/>
      <w:numFmt w:val="hebrew1"/>
      <w:lvlText w:val="(%1)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539E1D76"/>
    <w:multiLevelType w:val="hybridMultilevel"/>
    <w:tmpl w:val="8B302CD6"/>
    <w:lvl w:ilvl="0" w:tplc="9A88CB86">
      <w:start w:val="1"/>
      <w:numFmt w:val="hebrew1"/>
      <w:lvlText w:val="(%1)"/>
      <w:lvlJc w:val="left"/>
      <w:pPr>
        <w:ind w:left="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10" w15:restartNumberingAfterBreak="0">
    <w:nsid w:val="5D624A8C"/>
    <w:multiLevelType w:val="hybridMultilevel"/>
    <w:tmpl w:val="A80A02FC"/>
    <w:lvl w:ilvl="0" w:tplc="80189398">
      <w:start w:val="1"/>
      <w:numFmt w:val="decimal"/>
      <w:lvlText w:val="%1."/>
      <w:lvlJc w:val="left"/>
      <w:pPr>
        <w:ind w:left="-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1" w15:restartNumberingAfterBreak="0">
    <w:nsid w:val="60C771D1"/>
    <w:multiLevelType w:val="hybridMultilevel"/>
    <w:tmpl w:val="129C5C5E"/>
    <w:lvl w:ilvl="0" w:tplc="5DBC5A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F57DB"/>
    <w:multiLevelType w:val="hybridMultilevel"/>
    <w:tmpl w:val="D9E49402"/>
    <w:lvl w:ilvl="0" w:tplc="99525A84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50B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905382C"/>
    <w:multiLevelType w:val="multilevel"/>
    <w:tmpl w:val="63FE9C6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A417F91"/>
    <w:multiLevelType w:val="multilevel"/>
    <w:tmpl w:val="139811D4"/>
    <w:lvl w:ilvl="0">
      <w:start w:val="4"/>
      <w:numFmt w:val="decimal"/>
      <w:lvlText w:val="%1"/>
      <w:lvlJc w:val="left"/>
      <w:pPr>
        <w:ind w:left="360" w:hanging="360"/>
      </w:pPr>
      <w:rPr>
        <w:rFonts w:ascii="David" w:hAnsi="David"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David" w:hAnsi="David" w:hint="default"/>
      </w:rPr>
    </w:lvl>
  </w:abstractNum>
  <w:abstractNum w:abstractNumId="16" w15:restartNumberingAfterBreak="0">
    <w:nsid w:val="718A04FD"/>
    <w:multiLevelType w:val="hybridMultilevel"/>
    <w:tmpl w:val="BBD20560"/>
    <w:lvl w:ilvl="0" w:tplc="AD1ECF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David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8634D"/>
    <w:multiLevelType w:val="hybridMultilevel"/>
    <w:tmpl w:val="1548C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15AE9"/>
    <w:multiLevelType w:val="hybridMultilevel"/>
    <w:tmpl w:val="6AB05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2936">
    <w:abstractNumId w:val="13"/>
  </w:num>
  <w:num w:numId="2" w16cid:durableId="2110201887">
    <w:abstractNumId w:val="15"/>
  </w:num>
  <w:num w:numId="3" w16cid:durableId="2050911487">
    <w:abstractNumId w:val="7"/>
  </w:num>
  <w:num w:numId="4" w16cid:durableId="54352078">
    <w:abstractNumId w:val="9"/>
  </w:num>
  <w:num w:numId="5" w16cid:durableId="1783650279">
    <w:abstractNumId w:val="12"/>
  </w:num>
  <w:num w:numId="6" w16cid:durableId="1860003825">
    <w:abstractNumId w:val="14"/>
  </w:num>
  <w:num w:numId="7" w16cid:durableId="1857384057">
    <w:abstractNumId w:val="3"/>
  </w:num>
  <w:num w:numId="8" w16cid:durableId="1147281946">
    <w:abstractNumId w:val="10"/>
  </w:num>
  <w:num w:numId="9" w16cid:durableId="1857041554">
    <w:abstractNumId w:val="4"/>
  </w:num>
  <w:num w:numId="10" w16cid:durableId="1488130462">
    <w:abstractNumId w:val="0"/>
  </w:num>
  <w:num w:numId="11" w16cid:durableId="1435830391">
    <w:abstractNumId w:val="11"/>
  </w:num>
  <w:num w:numId="12" w16cid:durableId="1977636811">
    <w:abstractNumId w:val="2"/>
  </w:num>
  <w:num w:numId="13" w16cid:durableId="243496560">
    <w:abstractNumId w:val="5"/>
  </w:num>
  <w:num w:numId="14" w16cid:durableId="2003502977">
    <w:abstractNumId w:val="8"/>
  </w:num>
  <w:num w:numId="15" w16cid:durableId="1738163209">
    <w:abstractNumId w:val="18"/>
  </w:num>
  <w:num w:numId="16" w16cid:durableId="1112288802">
    <w:abstractNumId w:val="6"/>
  </w:num>
  <w:num w:numId="17" w16cid:durableId="17186208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2586526">
    <w:abstractNumId w:val="1"/>
  </w:num>
  <w:num w:numId="19" w16cid:durableId="1085685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/n1niQfLQm35jffgASoSCwbWYLSpFgPK6SsvLBLr1ZqSh4NgcobRvyA7vwJ/moKExKkiKpeam8YZqu5O+EhcA==" w:salt="ub5/hYgblal56XnrP/z5J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CC9"/>
    <w:rsid w:val="000245BD"/>
    <w:rsid w:val="00060F77"/>
    <w:rsid w:val="0007525D"/>
    <w:rsid w:val="00081F5E"/>
    <w:rsid w:val="0008480F"/>
    <w:rsid w:val="00097578"/>
    <w:rsid w:val="000D3079"/>
    <w:rsid w:val="000F4BB5"/>
    <w:rsid w:val="0010520C"/>
    <w:rsid w:val="001301DD"/>
    <w:rsid w:val="00162DE4"/>
    <w:rsid w:val="00172B96"/>
    <w:rsid w:val="00176EC5"/>
    <w:rsid w:val="001C7AEA"/>
    <w:rsid w:val="001D0595"/>
    <w:rsid w:val="00286414"/>
    <w:rsid w:val="002A2444"/>
    <w:rsid w:val="002B6AF3"/>
    <w:rsid w:val="002E4BB4"/>
    <w:rsid w:val="002F102D"/>
    <w:rsid w:val="00306B49"/>
    <w:rsid w:val="003110B5"/>
    <w:rsid w:val="003778DD"/>
    <w:rsid w:val="003C2549"/>
    <w:rsid w:val="003D5242"/>
    <w:rsid w:val="003F5D90"/>
    <w:rsid w:val="0040746C"/>
    <w:rsid w:val="00415829"/>
    <w:rsid w:val="00470465"/>
    <w:rsid w:val="00547A88"/>
    <w:rsid w:val="0056096E"/>
    <w:rsid w:val="00561356"/>
    <w:rsid w:val="00570E8E"/>
    <w:rsid w:val="005A37E8"/>
    <w:rsid w:val="005A6DBD"/>
    <w:rsid w:val="005E6330"/>
    <w:rsid w:val="00632F61"/>
    <w:rsid w:val="00651F28"/>
    <w:rsid w:val="00674A64"/>
    <w:rsid w:val="00680FC2"/>
    <w:rsid w:val="0069095E"/>
    <w:rsid w:val="006A2FA4"/>
    <w:rsid w:val="006D03E0"/>
    <w:rsid w:val="006E0DF6"/>
    <w:rsid w:val="00705E4F"/>
    <w:rsid w:val="00715004"/>
    <w:rsid w:val="0071749F"/>
    <w:rsid w:val="00742726"/>
    <w:rsid w:val="007577B5"/>
    <w:rsid w:val="007602EF"/>
    <w:rsid w:val="007B4C77"/>
    <w:rsid w:val="007D1B38"/>
    <w:rsid w:val="00800962"/>
    <w:rsid w:val="00806412"/>
    <w:rsid w:val="00827431"/>
    <w:rsid w:val="0085379C"/>
    <w:rsid w:val="00865029"/>
    <w:rsid w:val="008C4335"/>
    <w:rsid w:val="008C6039"/>
    <w:rsid w:val="008E7DEE"/>
    <w:rsid w:val="00902153"/>
    <w:rsid w:val="009048A8"/>
    <w:rsid w:val="00914962"/>
    <w:rsid w:val="00940CC9"/>
    <w:rsid w:val="00951643"/>
    <w:rsid w:val="00983048"/>
    <w:rsid w:val="009916DF"/>
    <w:rsid w:val="009B1D98"/>
    <w:rsid w:val="009E7452"/>
    <w:rsid w:val="00A021BC"/>
    <w:rsid w:val="00A036B9"/>
    <w:rsid w:val="00A0420E"/>
    <w:rsid w:val="00A17DF1"/>
    <w:rsid w:val="00A3110B"/>
    <w:rsid w:val="00A82D93"/>
    <w:rsid w:val="00AF0287"/>
    <w:rsid w:val="00B42EDF"/>
    <w:rsid w:val="00B55F1B"/>
    <w:rsid w:val="00B70F1A"/>
    <w:rsid w:val="00B839A3"/>
    <w:rsid w:val="00BC458D"/>
    <w:rsid w:val="00BD7699"/>
    <w:rsid w:val="00C12865"/>
    <w:rsid w:val="00C53546"/>
    <w:rsid w:val="00C61496"/>
    <w:rsid w:val="00C92ACE"/>
    <w:rsid w:val="00C93451"/>
    <w:rsid w:val="00CA0243"/>
    <w:rsid w:val="00CB5664"/>
    <w:rsid w:val="00CF1A97"/>
    <w:rsid w:val="00CF799F"/>
    <w:rsid w:val="00D1598C"/>
    <w:rsid w:val="00D33418"/>
    <w:rsid w:val="00D54060"/>
    <w:rsid w:val="00D8195B"/>
    <w:rsid w:val="00D93A36"/>
    <w:rsid w:val="00DF2BBB"/>
    <w:rsid w:val="00E10C0A"/>
    <w:rsid w:val="00E149F0"/>
    <w:rsid w:val="00E41381"/>
    <w:rsid w:val="00E426E0"/>
    <w:rsid w:val="00E9646B"/>
    <w:rsid w:val="00EA3739"/>
    <w:rsid w:val="00EE05FF"/>
    <w:rsid w:val="00EF0B60"/>
    <w:rsid w:val="00F01409"/>
    <w:rsid w:val="00F35A5A"/>
    <w:rsid w:val="00F41617"/>
    <w:rsid w:val="00F47F0E"/>
    <w:rsid w:val="00F56AB7"/>
    <w:rsid w:val="00F827E7"/>
    <w:rsid w:val="00F8332A"/>
    <w:rsid w:val="00F92C59"/>
    <w:rsid w:val="00FA404F"/>
    <w:rsid w:val="00FB065A"/>
    <w:rsid w:val="00FE630A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45A4"/>
  <w15:docId w15:val="{44B7DFF6-C05E-459F-8307-32716D40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David"/>
        <w:sz w:val="22"/>
        <w:szCs w:val="24"/>
        <w:lang w:val="en-US" w:eastAsia="en-US" w:bidi="he-IL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rFonts w:ascii="Arial" w:eastAsiaTheme="minorHAnsi" w:hAnsi="Arial"/>
      <w:sz w:val="22"/>
      <w:szCs w:val="24"/>
      <w:lang w:eastAsia="en-US"/>
    </w:rPr>
  </w:style>
  <w:style w:type="character" w:customStyle="1" w:styleId="a6">
    <w:name w:val="כותרת תחתונה תו"/>
    <w:basedOn w:val="a0"/>
    <w:link w:val="a5"/>
    <w:uiPriority w:val="99"/>
  </w:style>
  <w:style w:type="table" w:styleId="a7">
    <w:name w:val="Table Grid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P1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basedOn w:val="a"/>
    <w:uiPriority w:val="1"/>
    <w:qFormat/>
    <w:rPr>
      <w:rFonts w:asciiTheme="minorHAnsi" w:eastAsiaTheme="minorHAnsi" w:hAnsiTheme="minorHAnsi"/>
      <w:sz w:val="22"/>
      <w:lang w:eastAsia="en-US"/>
    </w:rPr>
  </w:style>
  <w:style w:type="paragraph" w:customStyle="1" w:styleId="11-">
    <w:name w:val="11-דוד"/>
    <w:pPr>
      <w:autoSpaceDE w:val="0"/>
      <w:autoSpaceDN w:val="0"/>
      <w:bidi w:val="0"/>
      <w:adjustRightInd w:val="0"/>
      <w:spacing w:line="240" w:lineRule="auto"/>
    </w:pPr>
    <w:rPr>
      <w:rFonts w:ascii="Times New Roman" w:eastAsia="Times New Roman" w:hAnsi="Times New Roman" w:cs="Times New Roman"/>
      <w:szCs w:val="22"/>
    </w:rPr>
  </w:style>
  <w:style w:type="character" w:customStyle="1" w:styleId="a9">
    <w:name w:val="פיסקת רשימה תו"/>
    <w:aliases w:val="LP1 תו"/>
    <w:link w:val="a8"/>
    <w:uiPriority w:val="34"/>
    <w:locked/>
    <w:rPr>
      <w:rFonts w:ascii="Times New Roman" w:eastAsia="Times New Roman" w:hAnsi="Times New Roman"/>
      <w:sz w:val="20"/>
      <w:szCs w:val="28"/>
      <w:lang w:eastAsia="he-IL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CB5664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CB5664"/>
    <w:rPr>
      <w:rFonts w:ascii="Tahoma" w:eastAsia="Times New Roman" w:hAnsi="Tahoma" w:cs="Tahoma"/>
      <w:sz w:val="16"/>
      <w:szCs w:val="16"/>
      <w:lang w:eastAsia="he-IL"/>
    </w:rPr>
  </w:style>
  <w:style w:type="paragraph" w:styleId="ae">
    <w:name w:val="Revision"/>
    <w:hidden/>
    <w:uiPriority w:val="99"/>
    <w:semiHidden/>
    <w:rsid w:val="002B6AF3"/>
    <w:pPr>
      <w:bidi w:val="0"/>
      <w:spacing w:line="240" w:lineRule="auto"/>
    </w:pPr>
    <w:rPr>
      <w:rFonts w:ascii="Times New Roman" w:eastAsia="Times New Roman" w:hAnsi="Times New Roman"/>
      <w:sz w:val="20"/>
      <w:szCs w:val="28"/>
      <w:lang w:eastAsia="he-IL"/>
    </w:rPr>
  </w:style>
  <w:style w:type="character" w:styleId="af">
    <w:name w:val="annotation reference"/>
    <w:basedOn w:val="a0"/>
    <w:uiPriority w:val="99"/>
    <w:semiHidden/>
    <w:unhideWhenUsed/>
    <w:rsid w:val="00F827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827E7"/>
    <w:rPr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F827E7"/>
    <w:rPr>
      <w:rFonts w:ascii="Times New Roman" w:eastAsia="Times New Roman" w:hAnsi="Times New Roman"/>
      <w:sz w:val="20"/>
      <w:szCs w:val="20"/>
      <w:lang w:eastAsia="he-IL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27E7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F827E7"/>
    <w:rPr>
      <w:rFonts w:ascii="Times New Roman" w:eastAsia="Times New Roman" w:hAnsi="Times New Roman"/>
      <w:b/>
      <w:bCs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5488</Characters>
  <Application>Microsoft Office Word</Application>
  <DocSecurity>8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 רן־יה, עו"ד</dc:creator>
  <cp:lastModifiedBy>יאנה בורוחוב</cp:lastModifiedBy>
  <cp:revision>3</cp:revision>
  <cp:lastPrinted>2018-10-10T09:30:00Z</cp:lastPrinted>
  <dcterms:created xsi:type="dcterms:W3CDTF">2023-09-21T10:58:00Z</dcterms:created>
  <dcterms:modified xsi:type="dcterms:W3CDTF">2023-09-21T10:58:00Z</dcterms:modified>
</cp:coreProperties>
</file>